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FB4D" w14:textId="77777777" w:rsidR="00630576" w:rsidRDefault="00630576" w:rsidP="00BA197D">
      <w:pPr>
        <w:spacing w:after="0" w:line="240" w:lineRule="auto"/>
        <w:rPr>
          <w:sz w:val="28"/>
          <w:szCs w:val="28"/>
        </w:rPr>
      </w:pPr>
    </w:p>
    <w:p w14:paraId="134FF107" w14:textId="77777777" w:rsidR="001D7068" w:rsidRDefault="001D7068" w:rsidP="00BA197D">
      <w:pPr>
        <w:spacing w:after="0" w:line="240" w:lineRule="auto"/>
        <w:rPr>
          <w:sz w:val="28"/>
          <w:szCs w:val="28"/>
        </w:rPr>
      </w:pPr>
    </w:p>
    <w:p w14:paraId="4D7A37B1" w14:textId="5F9FDF8C" w:rsidR="00A77DDC" w:rsidRPr="00086633" w:rsidRDefault="00A77DDC" w:rsidP="00BA197D">
      <w:pPr>
        <w:spacing w:after="0" w:line="240" w:lineRule="auto"/>
        <w:rPr>
          <w:sz w:val="28"/>
          <w:szCs w:val="28"/>
        </w:rPr>
      </w:pPr>
      <w:r w:rsidRPr="00086633">
        <w:rPr>
          <w:sz w:val="28"/>
          <w:szCs w:val="28"/>
        </w:rPr>
        <w:t xml:space="preserve">Chemical Treatment Safety Station </w:t>
      </w:r>
      <w:r>
        <w:rPr>
          <w:sz w:val="28"/>
          <w:szCs w:val="28"/>
        </w:rPr>
        <w:t>SOP</w:t>
      </w:r>
    </w:p>
    <w:p w14:paraId="69D6FE3F" w14:textId="77777777" w:rsidR="00A77DDC" w:rsidRDefault="00A77DDC" w:rsidP="00BA197D">
      <w:pPr>
        <w:spacing w:after="0" w:line="240" w:lineRule="auto"/>
        <w:rPr>
          <w:sz w:val="28"/>
          <w:szCs w:val="28"/>
          <w:u w:val="single"/>
        </w:rPr>
      </w:pPr>
    </w:p>
    <w:p w14:paraId="6C06EFB6" w14:textId="57C4F905" w:rsidR="00A77DDC" w:rsidRDefault="00A77DDC" w:rsidP="00BA197D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Equipment</w:t>
      </w:r>
    </w:p>
    <w:p w14:paraId="1175809F" w14:textId="16137CAC" w:rsidR="00A77DDC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 w:rsidRPr="00086633">
        <w:t>Transfer pump</w:t>
      </w:r>
      <w:r>
        <w:t xml:space="preserve"> and battery cable clamps</w:t>
      </w:r>
    </w:p>
    <w:p w14:paraId="2E996F22" w14:textId="32391B97" w:rsidR="00A77DDC" w:rsidRPr="00F448B8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>
        <w:t xml:space="preserve">1 </w:t>
      </w:r>
      <w:r w:rsidRPr="00F448B8">
        <w:t>50’ or 100’ garden hose (rinse hose) with quick-connect fitting</w:t>
      </w:r>
      <w:r w:rsidR="00DF1201" w:rsidRPr="00F448B8">
        <w:t xml:space="preserve"> (</w:t>
      </w:r>
      <w:r w:rsidR="00F448B8">
        <w:t>hose length will depend</w:t>
      </w:r>
      <w:r w:rsidR="00DF1201" w:rsidRPr="00F448B8">
        <w:t xml:space="preserve"> on whether safety station in fixed location or in truck, i.e., mobile safety station)</w:t>
      </w:r>
    </w:p>
    <w:p w14:paraId="7B6499F4" w14:textId="50639225" w:rsidR="00A77DDC" w:rsidRPr="00F448B8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 w:rsidRPr="00F448B8">
        <w:t>1 2’ garden hose (transfer pump) with quick-connect fitting</w:t>
      </w:r>
    </w:p>
    <w:p w14:paraId="6CF3DCD7" w14:textId="36C61EA8" w:rsidR="00A77DDC" w:rsidRPr="00F448B8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 w:rsidRPr="00F448B8">
        <w:t>3 1-2’ garden hose (carboy hose) with quick-connect fittings and stainless-steel hose clamp</w:t>
      </w:r>
    </w:p>
    <w:p w14:paraId="3BC258E8" w14:textId="33F17054" w:rsidR="00A77DDC" w:rsidRPr="00F448B8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 w:rsidRPr="00F448B8">
        <w:t xml:space="preserve">3 </w:t>
      </w:r>
      <w:r w:rsidR="00F448B8">
        <w:rPr>
          <w:rFonts w:cstheme="minorHAnsi"/>
        </w:rPr>
        <w:t>≥</w:t>
      </w:r>
      <w:r w:rsidRPr="00F448B8">
        <w:t>50-L carboys</w:t>
      </w:r>
      <w:r w:rsidR="00F448B8">
        <w:t xml:space="preserve"> (goal is for high volume of water for rinsing)</w:t>
      </w:r>
    </w:p>
    <w:p w14:paraId="3CE8224F" w14:textId="04A27FE5" w:rsidR="00A77DDC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 w:rsidRPr="00F448B8">
        <w:t>Hose or screwdriver</w:t>
      </w:r>
    </w:p>
    <w:p w14:paraId="69112A83" w14:textId="4E1E6B00" w:rsidR="00A77DDC" w:rsidRPr="00086633" w:rsidRDefault="00A77DDC" w:rsidP="00F448B8">
      <w:pPr>
        <w:pStyle w:val="ListParagraph"/>
        <w:numPr>
          <w:ilvl w:val="0"/>
          <w:numId w:val="3"/>
        </w:numPr>
        <w:spacing w:after="0" w:line="240" w:lineRule="auto"/>
        <w:ind w:left="432" w:hanging="288"/>
      </w:pPr>
      <w:r>
        <w:t xml:space="preserve">12-v </w:t>
      </w:r>
      <w:r w:rsidRPr="00A77DDC">
        <w:t xml:space="preserve">automotive tractor or marine type </w:t>
      </w:r>
      <w:r>
        <w:t>battery and battery charger</w:t>
      </w:r>
    </w:p>
    <w:p w14:paraId="302C1CC4" w14:textId="77777777" w:rsidR="00A77DDC" w:rsidRDefault="00A77DDC" w:rsidP="00BA197D">
      <w:pPr>
        <w:spacing w:after="0" w:line="240" w:lineRule="auto"/>
        <w:rPr>
          <w:sz w:val="28"/>
          <w:szCs w:val="28"/>
          <w:u w:val="single"/>
        </w:rPr>
      </w:pPr>
    </w:p>
    <w:p w14:paraId="71D361B5" w14:textId="6126FFB1" w:rsidR="0078010B" w:rsidRDefault="00E12CE6" w:rsidP="00BA197D">
      <w:pPr>
        <w:spacing w:after="0" w:line="240" w:lineRule="auto"/>
        <w:rPr>
          <w:sz w:val="28"/>
          <w:szCs w:val="28"/>
          <w:u w:val="single"/>
        </w:rPr>
      </w:pPr>
      <w:r w:rsidRPr="00AD6153">
        <w:rPr>
          <w:sz w:val="28"/>
          <w:szCs w:val="28"/>
          <w:u w:val="single"/>
        </w:rPr>
        <w:t>Operation</w:t>
      </w:r>
    </w:p>
    <w:p w14:paraId="5CB9AC84" w14:textId="0C09AA26" w:rsidR="00A77DDC" w:rsidRDefault="00A77DDC" w:rsidP="00086633">
      <w:pPr>
        <w:pStyle w:val="ListParagraph"/>
        <w:numPr>
          <w:ilvl w:val="0"/>
          <w:numId w:val="1"/>
        </w:numPr>
      </w:pPr>
      <w:r w:rsidRPr="00A77DDC">
        <w:t xml:space="preserve">Charge </w:t>
      </w:r>
      <w:r>
        <w:t xml:space="preserve">12-v </w:t>
      </w:r>
      <w:r w:rsidRPr="00A77DDC">
        <w:t>battery</w:t>
      </w:r>
      <w:r>
        <w:t>.</w:t>
      </w:r>
    </w:p>
    <w:p w14:paraId="707F311E" w14:textId="77777777" w:rsidR="00ED7933" w:rsidRPr="00086633" w:rsidRDefault="0078010B" w:rsidP="00BA197D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>Place transfer pump on a stable level surface</w:t>
      </w:r>
      <w:r w:rsidR="009B42FC">
        <w:t>.</w:t>
      </w:r>
      <w:r w:rsidR="00ED7933">
        <w:t xml:space="preserve"> </w:t>
      </w:r>
    </w:p>
    <w:p w14:paraId="15630A86" w14:textId="4F12D737" w:rsidR="0078010B" w:rsidRPr="0078010B" w:rsidRDefault="00ED7933" w:rsidP="00086633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The safety station may be placed at a fixed location near the area or pond to be treated or in the bed of a pick-up truck, which would allow staff to respond to</w:t>
      </w:r>
      <w:r w:rsidR="00A30AF0">
        <w:t xml:space="preserve"> multiple locations around pond(s) in </w:t>
      </w:r>
      <w:r>
        <w:t>an emergency.</w:t>
      </w:r>
    </w:p>
    <w:p w14:paraId="26C5E3F4" w14:textId="6C008A6A" w:rsidR="0078010B" w:rsidRPr="003278A4" w:rsidRDefault="0078010B" w:rsidP="00086633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Observe the direction</w:t>
      </w:r>
      <w:r w:rsidR="003278A4">
        <w:t xml:space="preserve"> of</w:t>
      </w:r>
      <w:r>
        <w:t xml:space="preserve"> the arrow on the front of the pump</w:t>
      </w:r>
      <w:r w:rsidR="003278A4">
        <w:t>.</w:t>
      </w:r>
    </w:p>
    <w:p w14:paraId="5EA6D330" w14:textId="69D126D4" w:rsidR="003278A4" w:rsidRPr="00086633" w:rsidRDefault="003278A4" w:rsidP="00BA197D">
      <w:pPr>
        <w:pStyle w:val="ListParagraph"/>
        <w:numPr>
          <w:ilvl w:val="2"/>
          <w:numId w:val="1"/>
        </w:numPr>
        <w:spacing w:after="0" w:line="240" w:lineRule="auto"/>
        <w:rPr>
          <w:u w:val="single"/>
        </w:rPr>
      </w:pPr>
      <w:r>
        <w:t>Th</w:t>
      </w:r>
      <w:r w:rsidR="007D5361">
        <w:t>e arrow</w:t>
      </w:r>
      <w:r>
        <w:t xml:space="preserve"> indicates which way the water will flow</w:t>
      </w:r>
      <w:r w:rsidR="007D5361">
        <w:t xml:space="preserve"> (Fig. 1)</w:t>
      </w:r>
      <w:r w:rsidR="009B42FC">
        <w:t>.</w:t>
      </w:r>
    </w:p>
    <w:p w14:paraId="128C5986" w14:textId="77777777" w:rsidR="00ED7933" w:rsidRPr="00086633" w:rsidRDefault="00ED7933" w:rsidP="00086633">
      <w:pPr>
        <w:pStyle w:val="ListParagraph"/>
        <w:spacing w:after="0" w:line="240" w:lineRule="auto"/>
        <w:ind w:left="2208"/>
        <w:rPr>
          <w:u w:val="single"/>
        </w:rPr>
      </w:pPr>
    </w:p>
    <w:p w14:paraId="545A7949" w14:textId="77777777" w:rsidR="00BA197D" w:rsidRPr="0078010B" w:rsidRDefault="00BA197D" w:rsidP="00086633">
      <w:pPr>
        <w:pStyle w:val="ListParagraph"/>
        <w:spacing w:after="0" w:line="240" w:lineRule="auto"/>
        <w:ind w:left="2208"/>
        <w:rPr>
          <w:u w:val="single"/>
        </w:rPr>
      </w:pPr>
    </w:p>
    <w:p w14:paraId="6CFA3947" w14:textId="119B4CD3" w:rsidR="0078010B" w:rsidRDefault="00C62EB7" w:rsidP="00086633">
      <w:pPr>
        <w:spacing w:after="0" w:line="240" w:lineRule="auto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48398" wp14:editId="633AA0CD">
                <wp:simplePos x="0" y="0"/>
                <wp:positionH relativeFrom="column">
                  <wp:posOffset>2750820</wp:posOffset>
                </wp:positionH>
                <wp:positionV relativeFrom="paragraph">
                  <wp:posOffset>1692877</wp:posOffset>
                </wp:positionV>
                <wp:extent cx="394335" cy="165647"/>
                <wp:effectExtent l="19050" t="19050" r="24765" b="44450"/>
                <wp:wrapNone/>
                <wp:docPr id="7" name="Arrow: Lef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335" cy="165647"/>
                        </a:xfrm>
                        <a:prstGeom prst="lef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A81CC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rrow: Left 7" o:spid="_x0000_s1026" type="#_x0000_t66" style="position:absolute;margin-left:216.6pt;margin-top:133.3pt;width:31.05pt;height:1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" adj="4537" fillcolor="black [3200]" strokecolor="black [3213]" strokeweight="1pt"/>
            </w:pict>
          </mc:Fallback>
        </mc:AlternateContent>
      </w:r>
      <w:r w:rsidR="003278A4" w:rsidRPr="003278A4">
        <w:t xml:space="preserve">                             </w:t>
      </w:r>
      <w:r w:rsidR="003278A4">
        <w:t xml:space="preserve">                           </w:t>
      </w:r>
      <w:r w:rsidR="00F42DD6">
        <w:t xml:space="preserve">  </w:t>
      </w:r>
      <w:r w:rsidR="003278A4">
        <w:t xml:space="preserve">    </w:t>
      </w:r>
      <w:r w:rsidR="003278A4" w:rsidRPr="003278A4">
        <w:t xml:space="preserve"> </w:t>
      </w:r>
      <w:r w:rsidR="003278A4">
        <w:rPr>
          <w:noProof/>
        </w:rPr>
        <w:drawing>
          <wp:inline distT="0" distB="0" distL="0" distR="0" wp14:anchorId="1EBCE81F" wp14:editId="76D8758B">
            <wp:extent cx="2039112" cy="2350008"/>
            <wp:effectExtent l="19050" t="19050" r="18415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12" cy="23500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ECD3007" w14:textId="77777777" w:rsidR="00ED7933" w:rsidRDefault="00ED7933" w:rsidP="00BA197D">
      <w:pPr>
        <w:spacing w:after="0" w:line="240" w:lineRule="auto"/>
        <w:jc w:val="center"/>
      </w:pPr>
    </w:p>
    <w:p w14:paraId="484A17E8" w14:textId="0A021741" w:rsidR="0078010B" w:rsidRDefault="007D5361" w:rsidP="00BA197D">
      <w:pPr>
        <w:spacing w:after="0" w:line="240" w:lineRule="auto"/>
        <w:jc w:val="center"/>
      </w:pPr>
      <w:r w:rsidRPr="00086633">
        <w:t>Figure 1: Transf</w:t>
      </w:r>
      <w:r>
        <w:t>er</w:t>
      </w:r>
      <w:r w:rsidRPr="00086633">
        <w:t xml:space="preserve"> pump manifold</w:t>
      </w:r>
      <w:r w:rsidR="00424489">
        <w:t>.</w:t>
      </w:r>
    </w:p>
    <w:p w14:paraId="43CB4067" w14:textId="77777777" w:rsidR="00ED7933" w:rsidRPr="00086633" w:rsidRDefault="00ED7933" w:rsidP="00086633">
      <w:pPr>
        <w:spacing w:after="0" w:line="240" w:lineRule="auto"/>
        <w:jc w:val="center"/>
      </w:pPr>
    </w:p>
    <w:p w14:paraId="5CE421D7" w14:textId="77777777" w:rsidR="007D5361" w:rsidRPr="00086633" w:rsidRDefault="007D5361" w:rsidP="00086633">
      <w:pPr>
        <w:pStyle w:val="ListParagraph"/>
        <w:spacing w:after="0" w:line="240" w:lineRule="auto"/>
        <w:ind w:left="768"/>
        <w:rPr>
          <w:u w:val="single"/>
        </w:rPr>
      </w:pPr>
    </w:p>
    <w:p w14:paraId="788F45FE" w14:textId="0A6B9948" w:rsidR="00B92F49" w:rsidRPr="003278A4" w:rsidRDefault="00E12CE6" w:rsidP="00086633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 xml:space="preserve">Examine the inlet and outlet hoses to insure there are no blockages, </w:t>
      </w:r>
      <w:r w:rsidR="003278A4">
        <w:t>kinks,</w:t>
      </w:r>
      <w:r>
        <w:t xml:space="preserve"> or bends.</w:t>
      </w:r>
    </w:p>
    <w:p w14:paraId="56754A98" w14:textId="501E4C6A" w:rsidR="003278A4" w:rsidRPr="003278A4" w:rsidRDefault="003278A4" w:rsidP="00086633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>
        <w:t xml:space="preserve">Connect white </w:t>
      </w:r>
      <w:r w:rsidR="00AD6153">
        <w:t xml:space="preserve">garden </w:t>
      </w:r>
      <w:r>
        <w:t xml:space="preserve">hose on the side </w:t>
      </w:r>
      <w:r w:rsidR="007D5361">
        <w:t>of pump to</w:t>
      </w:r>
      <w:r>
        <w:t xml:space="preserve"> which the arrow is pointing </w:t>
      </w:r>
      <w:r w:rsidR="003F5248">
        <w:t>(</w:t>
      </w:r>
      <w:r w:rsidR="003F5248" w:rsidRPr="0081237D">
        <w:rPr>
          <w:u w:val="single"/>
        </w:rPr>
        <w:t>Outlet</w:t>
      </w:r>
      <w:r w:rsidR="003F5248">
        <w:t>)</w:t>
      </w:r>
      <w:r w:rsidR="007D5361">
        <w:t xml:space="preserve"> (Fig. 2)</w:t>
      </w:r>
      <w:r>
        <w:t>.</w:t>
      </w:r>
    </w:p>
    <w:p w14:paraId="19C3B91F" w14:textId="3566610A" w:rsidR="003278A4" w:rsidRPr="00086633" w:rsidRDefault="003278A4" w:rsidP="00BA197D">
      <w:pPr>
        <w:pStyle w:val="ListParagraph"/>
        <w:numPr>
          <w:ilvl w:val="1"/>
          <w:numId w:val="1"/>
        </w:numPr>
        <w:spacing w:after="0" w:line="240" w:lineRule="auto"/>
        <w:rPr>
          <w:u w:val="single"/>
        </w:rPr>
      </w:pPr>
      <w:r>
        <w:t>The white garden hose will be used to rinse people off with in case of an emergency</w:t>
      </w:r>
      <w:r w:rsidR="00D32138">
        <w:t>.</w:t>
      </w:r>
    </w:p>
    <w:p w14:paraId="6A5E5B83" w14:textId="77777777" w:rsidR="00ED7933" w:rsidRPr="00086633" w:rsidRDefault="00ED7933" w:rsidP="00086633">
      <w:pPr>
        <w:pStyle w:val="ListParagraph"/>
        <w:spacing w:after="0" w:line="240" w:lineRule="auto"/>
        <w:ind w:left="1488"/>
        <w:rPr>
          <w:u w:val="single"/>
        </w:rPr>
      </w:pPr>
    </w:p>
    <w:p w14:paraId="47F95F84" w14:textId="77777777" w:rsidR="00BA197D" w:rsidRPr="003278A4" w:rsidRDefault="00BA197D" w:rsidP="00086633">
      <w:pPr>
        <w:pStyle w:val="ListParagraph"/>
        <w:spacing w:after="0" w:line="240" w:lineRule="auto"/>
        <w:ind w:left="1488"/>
        <w:rPr>
          <w:u w:val="single"/>
        </w:rPr>
      </w:pPr>
    </w:p>
    <w:p w14:paraId="77994C3A" w14:textId="33A59101" w:rsidR="00AB65AE" w:rsidRDefault="003278A4" w:rsidP="00086633">
      <w:pPr>
        <w:spacing w:after="0" w:line="240" w:lineRule="auto"/>
        <w:jc w:val="center"/>
        <w:rPr>
          <w:u w:val="single"/>
        </w:rPr>
      </w:pPr>
      <w:r>
        <w:t xml:space="preserve">                                                     </w:t>
      </w:r>
      <w:r w:rsidR="00AD6153">
        <w:rPr>
          <w:noProof/>
        </w:rPr>
        <w:drawing>
          <wp:inline distT="0" distB="0" distL="0" distR="0" wp14:anchorId="7EB223BC" wp14:editId="13DF7A45">
            <wp:extent cx="3081528" cy="2249424"/>
            <wp:effectExtent l="19050" t="19050" r="24130" b="177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528" cy="22494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BDE57F" w14:textId="77777777" w:rsidR="00ED7933" w:rsidRDefault="00ED7933" w:rsidP="00086633">
      <w:pPr>
        <w:spacing w:after="0" w:line="240" w:lineRule="auto"/>
        <w:jc w:val="center"/>
        <w:rPr>
          <w:u w:val="single"/>
        </w:rPr>
      </w:pPr>
    </w:p>
    <w:p w14:paraId="25A4CB25" w14:textId="677294F2" w:rsidR="007D5361" w:rsidRDefault="007D5361" w:rsidP="00BA197D">
      <w:pPr>
        <w:spacing w:after="0" w:line="240" w:lineRule="auto"/>
        <w:jc w:val="center"/>
      </w:pPr>
      <w:r w:rsidRPr="00DC1BC6">
        <w:t xml:space="preserve">Figure </w:t>
      </w:r>
      <w:r>
        <w:t>2</w:t>
      </w:r>
      <w:r w:rsidRPr="00DC1BC6">
        <w:t xml:space="preserve">: </w:t>
      </w:r>
      <w:r>
        <w:t xml:space="preserve">Rinse hose attached to transfer </w:t>
      </w:r>
      <w:r w:rsidRPr="00DC1BC6">
        <w:t>pump manifold</w:t>
      </w:r>
    </w:p>
    <w:p w14:paraId="31C8E67A" w14:textId="77777777" w:rsidR="00ED7933" w:rsidRPr="00DC1BC6" w:rsidRDefault="00ED7933" w:rsidP="00086633">
      <w:pPr>
        <w:spacing w:after="0" w:line="240" w:lineRule="auto"/>
        <w:jc w:val="center"/>
      </w:pPr>
    </w:p>
    <w:p w14:paraId="25BC1942" w14:textId="77777777" w:rsidR="00BA197D" w:rsidRDefault="00BA197D" w:rsidP="00086633">
      <w:pPr>
        <w:pStyle w:val="ListParagraph"/>
        <w:spacing w:after="0" w:line="240" w:lineRule="auto"/>
        <w:ind w:left="768"/>
      </w:pPr>
    </w:p>
    <w:p w14:paraId="72658FAA" w14:textId="37D5F245" w:rsidR="00AB65AE" w:rsidRDefault="00AB65AE" w:rsidP="00086633">
      <w:pPr>
        <w:pStyle w:val="ListParagraph"/>
        <w:numPr>
          <w:ilvl w:val="0"/>
          <w:numId w:val="1"/>
        </w:numPr>
        <w:spacing w:after="0" w:line="240" w:lineRule="auto"/>
      </w:pPr>
      <w:r>
        <w:t>Connect the end of the green garden hose labeled “To Pump” to the other end of the pump</w:t>
      </w:r>
      <w:r w:rsidR="003F5248">
        <w:t xml:space="preserve"> (</w:t>
      </w:r>
      <w:r w:rsidR="003F5248" w:rsidRPr="00F34A8A">
        <w:rPr>
          <w:u w:val="single"/>
        </w:rPr>
        <w:t>Inlet</w:t>
      </w:r>
      <w:r w:rsidR="003F5248" w:rsidRPr="003F5248">
        <w:t>)</w:t>
      </w:r>
      <w:r>
        <w:t>, opposite of the white garden hose</w:t>
      </w:r>
      <w:r w:rsidR="007D5361">
        <w:t xml:space="preserve"> (Fig. 3)</w:t>
      </w:r>
      <w:r w:rsidR="00D32138">
        <w:t>.</w:t>
      </w:r>
    </w:p>
    <w:p w14:paraId="0E1D8D33" w14:textId="77777777" w:rsidR="00AB65AE" w:rsidRDefault="00AB65AE" w:rsidP="00086633">
      <w:pPr>
        <w:pStyle w:val="ListParagraph"/>
        <w:spacing w:after="0" w:line="240" w:lineRule="auto"/>
        <w:ind w:left="768"/>
      </w:pPr>
    </w:p>
    <w:p w14:paraId="37E96915" w14:textId="2B78DB97" w:rsidR="00AB65AE" w:rsidRDefault="00AB65AE" w:rsidP="00086633">
      <w:pPr>
        <w:pStyle w:val="ListParagraph"/>
        <w:spacing w:after="0" w:line="240" w:lineRule="auto"/>
        <w:ind w:left="1488"/>
      </w:pPr>
      <w:r>
        <w:t xml:space="preserve">                       </w:t>
      </w:r>
      <w:r w:rsidR="00AD6153">
        <w:rPr>
          <w:noProof/>
        </w:rPr>
        <w:drawing>
          <wp:inline distT="0" distB="0" distL="0" distR="0" wp14:anchorId="58F256FC" wp14:editId="23F4FDA5">
            <wp:extent cx="3145536" cy="2011680"/>
            <wp:effectExtent l="19050" t="19050" r="17145" b="266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536" cy="20116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92B5D8F" w14:textId="77777777" w:rsidR="00ED7933" w:rsidRDefault="00ED7933" w:rsidP="00BA197D">
      <w:pPr>
        <w:spacing w:after="0" w:line="240" w:lineRule="auto"/>
        <w:jc w:val="center"/>
      </w:pPr>
    </w:p>
    <w:p w14:paraId="40394E8A" w14:textId="0D42CD5E" w:rsidR="007D5361" w:rsidRPr="00DC1BC6" w:rsidRDefault="007D5361" w:rsidP="00086633">
      <w:pPr>
        <w:spacing w:after="0" w:line="240" w:lineRule="auto"/>
        <w:jc w:val="center"/>
      </w:pPr>
      <w:r w:rsidRPr="00DC1BC6">
        <w:t xml:space="preserve">Figure </w:t>
      </w:r>
      <w:r>
        <w:t>3</w:t>
      </w:r>
      <w:r w:rsidRPr="00DC1BC6">
        <w:t xml:space="preserve">: </w:t>
      </w:r>
      <w:r>
        <w:t>Fill hose attached to t</w:t>
      </w:r>
      <w:r w:rsidRPr="00DC1BC6">
        <w:t>ransf</w:t>
      </w:r>
      <w:r>
        <w:t>er</w:t>
      </w:r>
      <w:r w:rsidRPr="00DC1BC6">
        <w:t xml:space="preserve"> pump manifold</w:t>
      </w:r>
      <w:r w:rsidR="00424489">
        <w:t>.</w:t>
      </w:r>
    </w:p>
    <w:p w14:paraId="136E1B44" w14:textId="0218BE59" w:rsidR="00AB65AE" w:rsidRDefault="00AB65AE" w:rsidP="00086633">
      <w:pPr>
        <w:pStyle w:val="ListParagraph"/>
        <w:spacing w:after="0" w:line="240" w:lineRule="auto"/>
        <w:ind w:left="768"/>
      </w:pPr>
    </w:p>
    <w:p w14:paraId="0A4B0A1E" w14:textId="77777777" w:rsidR="00AB65AE" w:rsidRDefault="00AB65AE" w:rsidP="00086633">
      <w:pPr>
        <w:pStyle w:val="ListParagraph"/>
        <w:spacing w:after="0" w:line="240" w:lineRule="auto"/>
        <w:ind w:left="768"/>
      </w:pPr>
    </w:p>
    <w:p w14:paraId="777ECCB7" w14:textId="77777777" w:rsidR="00762635" w:rsidRDefault="00B553E6" w:rsidP="0008663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Install three 1-2’ section of hose with quick connect fitting onto three </w:t>
      </w:r>
      <w:r w:rsidRPr="00F448B8">
        <w:t xml:space="preserve">50-L carboys. </w:t>
      </w:r>
    </w:p>
    <w:p w14:paraId="61548B87" w14:textId="755FCE6B" w:rsidR="00BA197D" w:rsidRPr="00F448B8" w:rsidRDefault="00B553E6" w:rsidP="00086633">
      <w:pPr>
        <w:pStyle w:val="ListParagraph"/>
        <w:numPr>
          <w:ilvl w:val="0"/>
          <w:numId w:val="1"/>
        </w:numPr>
        <w:spacing w:after="0" w:line="240" w:lineRule="auto"/>
      </w:pPr>
      <w:r w:rsidRPr="00F448B8">
        <w:t>Tightened stainless steel hose clamp with socket or screwdriver to ensure hose doesn’t leak or come off during operation</w:t>
      </w:r>
      <w:r w:rsidR="00BA197D" w:rsidRPr="00F448B8">
        <w:t xml:space="preserve"> (Fig. 4)</w:t>
      </w:r>
      <w:r w:rsidRPr="00F448B8">
        <w:t>.</w:t>
      </w:r>
    </w:p>
    <w:p w14:paraId="08C69882" w14:textId="69D16C8B" w:rsidR="00BA197D" w:rsidRPr="00F448B8" w:rsidRDefault="00BA197D" w:rsidP="00BA197D">
      <w:pPr>
        <w:pStyle w:val="ListParagraph"/>
        <w:numPr>
          <w:ilvl w:val="0"/>
          <w:numId w:val="1"/>
        </w:numPr>
        <w:spacing w:after="0" w:line="240" w:lineRule="auto"/>
      </w:pPr>
      <w:r w:rsidRPr="00F448B8">
        <w:t>C</w:t>
      </w:r>
      <w:r w:rsidR="00B937FC" w:rsidRPr="00F448B8">
        <w:t>onnect the green garden hose</w:t>
      </w:r>
      <w:r w:rsidR="007D5361" w:rsidRPr="00F448B8">
        <w:t xml:space="preserve"> </w:t>
      </w:r>
      <w:r w:rsidRPr="00F448B8">
        <w:t xml:space="preserve">to one of the white hoses on one of the 50-L carboys using the </w:t>
      </w:r>
      <w:r w:rsidR="007D5361" w:rsidRPr="00F448B8">
        <w:t>quick</w:t>
      </w:r>
      <w:r w:rsidRPr="00F448B8">
        <w:t>-</w:t>
      </w:r>
      <w:r w:rsidR="007D5361" w:rsidRPr="00F448B8">
        <w:t>connect fitting</w:t>
      </w:r>
      <w:r w:rsidRPr="00F448B8">
        <w:t xml:space="preserve">s (Fig. 5). The green hose will be sequentially connected to each carboy as carboys are drained. Total volume to water to be delivered quickly or under pressure = 150 L or 40 gallons. </w:t>
      </w:r>
    </w:p>
    <w:p w14:paraId="2A5893AC" w14:textId="14D3F43D" w:rsidR="00B937FC" w:rsidRDefault="00B937FC" w:rsidP="00086633">
      <w:pPr>
        <w:spacing w:after="0" w:line="240" w:lineRule="auto"/>
      </w:pPr>
      <w:r>
        <w:t xml:space="preserve"> </w:t>
      </w:r>
    </w:p>
    <w:p w14:paraId="34B576AC" w14:textId="77777777" w:rsidR="003D00E4" w:rsidRDefault="00B937FC" w:rsidP="00086633">
      <w:pPr>
        <w:pStyle w:val="ListParagraph"/>
        <w:spacing w:after="0" w:line="240" w:lineRule="auto"/>
        <w:ind w:left="768"/>
      </w:pPr>
      <w:r>
        <w:lastRenderedPageBreak/>
        <w:t xml:space="preserve">            </w:t>
      </w:r>
      <w:r w:rsidR="00AF2E77" w:rsidRPr="00AF2E77">
        <w:rPr>
          <w:noProof/>
        </w:rPr>
        <w:drawing>
          <wp:inline distT="0" distB="0" distL="0" distR="0" wp14:anchorId="0EB24E9F" wp14:editId="6B35B883">
            <wp:extent cx="3657600" cy="2743200"/>
            <wp:effectExtent l="0" t="0" r="0" b="0"/>
            <wp:docPr id="16" name="Picture 15" descr="A picture containing outdoo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3BEB63A-B177-BD93-2108-CB233112F5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A picture containing outdoor&#10;&#10;Description automatically generated">
                      <a:extLst>
                        <a:ext uri="{FF2B5EF4-FFF2-40B4-BE49-F238E27FC236}">
                          <a16:creationId xmlns:a16="http://schemas.microsoft.com/office/drawing/2014/main" id="{B3BEB63A-B177-BD93-2108-CB233112F5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7A33F" w14:textId="77777777" w:rsidR="003D00E4" w:rsidRDefault="003D00E4" w:rsidP="00086633">
      <w:pPr>
        <w:pStyle w:val="ListParagraph"/>
        <w:spacing w:after="0" w:line="240" w:lineRule="auto"/>
        <w:ind w:left="768"/>
      </w:pPr>
    </w:p>
    <w:p w14:paraId="2305203D" w14:textId="77777777" w:rsidR="003D00E4" w:rsidRDefault="003D00E4" w:rsidP="00086633">
      <w:pPr>
        <w:pStyle w:val="ListParagraph"/>
        <w:spacing w:after="0" w:line="240" w:lineRule="auto"/>
        <w:ind w:left="768"/>
      </w:pPr>
    </w:p>
    <w:p w14:paraId="0213EDF0" w14:textId="5A0609DE" w:rsidR="00B937FC" w:rsidRDefault="007D5361" w:rsidP="00086633">
      <w:pPr>
        <w:pStyle w:val="ListParagraph"/>
        <w:spacing w:after="0" w:line="240" w:lineRule="auto"/>
        <w:ind w:left="768"/>
      </w:pPr>
      <w:r>
        <w:rPr>
          <w:noProof/>
        </w:rPr>
        <w:drawing>
          <wp:inline distT="0" distB="0" distL="0" distR="0" wp14:anchorId="5B7A38E6" wp14:editId="5A12FD2B">
            <wp:extent cx="1801368" cy="2359152"/>
            <wp:effectExtent l="19050" t="19050" r="27940" b="222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23591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937FC">
        <w:t xml:space="preserve">        </w:t>
      </w:r>
      <w:r w:rsidR="00B937FC">
        <w:rPr>
          <w:noProof/>
        </w:rPr>
        <w:drawing>
          <wp:inline distT="0" distB="0" distL="0" distR="0" wp14:anchorId="61190B25" wp14:editId="27B98F31">
            <wp:extent cx="2414016" cy="1947672"/>
            <wp:effectExtent l="19050" t="19050" r="24765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016" cy="19476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12EFD">
        <w:rPr>
          <w:noProof/>
        </w:rPr>
        <w:t xml:space="preserve">               </w:t>
      </w:r>
    </w:p>
    <w:p w14:paraId="0BB4CF52" w14:textId="77777777" w:rsidR="00ED7933" w:rsidRDefault="00ED7933" w:rsidP="00086633">
      <w:pPr>
        <w:pStyle w:val="ListParagraph"/>
        <w:spacing w:after="0" w:line="240" w:lineRule="auto"/>
        <w:ind w:left="768"/>
      </w:pPr>
    </w:p>
    <w:p w14:paraId="22F9167F" w14:textId="348EA51E" w:rsidR="00B553E6" w:rsidRDefault="007D5361" w:rsidP="00086633">
      <w:pPr>
        <w:spacing w:after="0" w:line="240" w:lineRule="auto"/>
        <w:jc w:val="center"/>
      </w:pPr>
      <w:r w:rsidRPr="00DC1BC6">
        <w:t xml:space="preserve">Figure </w:t>
      </w:r>
      <w:r>
        <w:t>4</w:t>
      </w:r>
      <w:r w:rsidRPr="00DC1BC6">
        <w:t xml:space="preserve">: </w:t>
      </w:r>
      <w:r w:rsidR="001D7068">
        <w:t>50-L carbos, battery, pump, and 50 ft garden hose</w:t>
      </w:r>
    </w:p>
    <w:p w14:paraId="48731CF4" w14:textId="2F16DA9F" w:rsidR="001D7068" w:rsidRDefault="00B553E6" w:rsidP="00086633">
      <w:pPr>
        <w:spacing w:after="0" w:line="240" w:lineRule="auto"/>
        <w:jc w:val="center"/>
      </w:pPr>
      <w:r>
        <w:t xml:space="preserve">Figure 5: </w:t>
      </w:r>
      <w:r w:rsidR="001D7068">
        <w:t>Hose with quick connect fitting attached to 50-L carboy.</w:t>
      </w:r>
    </w:p>
    <w:p w14:paraId="5DA034DE" w14:textId="26718148" w:rsidR="007D5361" w:rsidRPr="00DC1BC6" w:rsidRDefault="001D7068" w:rsidP="00086633">
      <w:pPr>
        <w:spacing w:after="0" w:line="240" w:lineRule="auto"/>
        <w:jc w:val="center"/>
      </w:pPr>
      <w:r>
        <w:t xml:space="preserve">Figure 6:   </w:t>
      </w:r>
      <w:r w:rsidR="00B553E6">
        <w:t>Quick-connect fittings from carboy and transfer pump manifold connected</w:t>
      </w:r>
      <w:r w:rsidR="00424489">
        <w:t>.</w:t>
      </w:r>
    </w:p>
    <w:p w14:paraId="3B1AED1D" w14:textId="130744C9" w:rsidR="007D5361" w:rsidRDefault="007D5361" w:rsidP="00086633">
      <w:pPr>
        <w:pStyle w:val="ListParagraph"/>
        <w:spacing w:after="0" w:line="240" w:lineRule="auto"/>
        <w:ind w:left="768"/>
      </w:pPr>
    </w:p>
    <w:p w14:paraId="18E67EEE" w14:textId="77777777" w:rsidR="007D5361" w:rsidRDefault="007D5361" w:rsidP="00086633">
      <w:pPr>
        <w:pStyle w:val="ListParagraph"/>
        <w:spacing w:after="0" w:line="240" w:lineRule="auto"/>
        <w:ind w:left="768"/>
      </w:pPr>
    </w:p>
    <w:p w14:paraId="547DFAF6" w14:textId="33FE0A21" w:rsidR="00B937FC" w:rsidRDefault="00ED7933" w:rsidP="0008663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After the pump is attached to a carboy (make sure </w:t>
      </w:r>
      <w:r w:rsidR="00B937FC">
        <w:t>all connections are secure and tight</w:t>
      </w:r>
      <w:r w:rsidR="0009110A">
        <w:t>), proceed</w:t>
      </w:r>
      <w:r w:rsidR="00B937FC">
        <w:t xml:space="preserve"> to </w:t>
      </w:r>
      <w:r w:rsidR="00762635">
        <w:t>c</w:t>
      </w:r>
      <w:r w:rsidR="00762635" w:rsidRPr="00E12CE6">
        <w:t>onnect</w:t>
      </w:r>
      <w:r w:rsidR="00762635">
        <w:t>ing</w:t>
      </w:r>
      <w:r w:rsidR="00B937FC">
        <w:t xml:space="preserve"> the</w:t>
      </w:r>
      <w:r w:rsidR="00E12CE6" w:rsidRPr="00E12CE6">
        <w:t xml:space="preserve"> pump to 12</w:t>
      </w:r>
      <w:r>
        <w:t>-v</w:t>
      </w:r>
      <w:r w:rsidR="00E12CE6" w:rsidRPr="00E12CE6">
        <w:t xml:space="preserve"> battery power source, with pump </w:t>
      </w:r>
      <w:r w:rsidR="00762635">
        <w:t>placed o</w:t>
      </w:r>
      <w:r w:rsidR="00E12CE6" w:rsidRPr="00E12CE6">
        <w:t>n a dry</w:t>
      </w:r>
      <w:r w:rsidR="001C65FE">
        <w:t xml:space="preserve"> level</w:t>
      </w:r>
      <w:r w:rsidR="00E12CE6" w:rsidRPr="00E12CE6">
        <w:t xml:space="preserve"> location.</w:t>
      </w:r>
    </w:p>
    <w:p w14:paraId="5CC3EB72" w14:textId="29E63D2E" w:rsidR="00E12CE6" w:rsidRDefault="00B937FC" w:rsidP="00086633">
      <w:pPr>
        <w:pStyle w:val="ListParagraph"/>
        <w:numPr>
          <w:ilvl w:val="1"/>
          <w:numId w:val="1"/>
        </w:numPr>
        <w:spacing w:after="0" w:line="240" w:lineRule="auto"/>
      </w:pPr>
      <w:r>
        <w:t>Pump m</w:t>
      </w:r>
      <w:r w:rsidR="00E12CE6" w:rsidRPr="00E12CE6">
        <w:t>otor must be connected to a fully charged automotive tractor or marine type battery to operate.</w:t>
      </w:r>
    </w:p>
    <w:p w14:paraId="00C5C756" w14:textId="3282245A" w:rsidR="001A3882" w:rsidRDefault="001A3882" w:rsidP="00BA197D">
      <w:pPr>
        <w:pStyle w:val="ListParagraph"/>
        <w:numPr>
          <w:ilvl w:val="1"/>
          <w:numId w:val="1"/>
        </w:numPr>
        <w:spacing w:after="0" w:line="240" w:lineRule="auto"/>
      </w:pPr>
      <w:r>
        <w:t>Make sure switch is off</w:t>
      </w:r>
      <w:r w:rsidR="00B80447">
        <w:t xml:space="preserve"> “O” </w:t>
      </w:r>
      <w:r>
        <w:t xml:space="preserve">before connecting battery terminals </w:t>
      </w:r>
      <w:r w:rsidR="00485172">
        <w:t>to battery</w:t>
      </w:r>
      <w:r w:rsidR="00ED7933">
        <w:t xml:space="preserve"> (Fig 6)</w:t>
      </w:r>
      <w:r w:rsidR="00485172">
        <w:t>.</w:t>
      </w:r>
    </w:p>
    <w:p w14:paraId="45B966F0" w14:textId="77777777" w:rsidR="00ED7933" w:rsidRDefault="00ED7933" w:rsidP="00086633">
      <w:pPr>
        <w:pStyle w:val="ListParagraph"/>
        <w:spacing w:after="0" w:line="240" w:lineRule="auto"/>
        <w:ind w:left="1488"/>
      </w:pPr>
    </w:p>
    <w:p w14:paraId="61D51F8C" w14:textId="48281A78" w:rsidR="00C62EB7" w:rsidRDefault="00C62EB7" w:rsidP="00086633">
      <w:pPr>
        <w:pStyle w:val="ListParagraph"/>
        <w:spacing w:after="0" w:line="240" w:lineRule="auto"/>
        <w:ind w:left="1488"/>
      </w:pPr>
    </w:p>
    <w:p w14:paraId="458C5AEA" w14:textId="24938B27" w:rsidR="00C62EB7" w:rsidRDefault="001A3882" w:rsidP="00086633">
      <w:pPr>
        <w:pStyle w:val="ListParagraph"/>
        <w:spacing w:after="0" w:line="240" w:lineRule="auto"/>
        <w:ind w:left="1488"/>
      </w:pPr>
      <w:r>
        <w:lastRenderedPageBreak/>
        <w:t xml:space="preserve">                               </w:t>
      </w:r>
      <w:r w:rsidR="00F42DD6">
        <w:t xml:space="preserve"> </w:t>
      </w:r>
      <w:r>
        <w:t xml:space="preserve">    </w:t>
      </w:r>
      <w:r>
        <w:rPr>
          <w:noProof/>
        </w:rPr>
        <w:drawing>
          <wp:inline distT="0" distB="0" distL="0" distR="0" wp14:anchorId="311D433F" wp14:editId="48A0A66A">
            <wp:extent cx="1984248" cy="1883664"/>
            <wp:effectExtent l="19050" t="19050" r="16510" b="215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8836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137CB0" w14:textId="77777777" w:rsidR="00ED7933" w:rsidRDefault="00ED7933" w:rsidP="00ED7933">
      <w:pPr>
        <w:spacing w:after="0" w:line="240" w:lineRule="auto"/>
        <w:jc w:val="center"/>
      </w:pPr>
    </w:p>
    <w:p w14:paraId="7CD6B94B" w14:textId="1DE88C0B" w:rsidR="00ED7933" w:rsidRDefault="00ED7933" w:rsidP="00ED7933">
      <w:pPr>
        <w:spacing w:after="0" w:line="240" w:lineRule="auto"/>
        <w:jc w:val="center"/>
      </w:pPr>
      <w:r w:rsidRPr="00DC1BC6">
        <w:t xml:space="preserve">Figure </w:t>
      </w:r>
      <w:r>
        <w:t>6</w:t>
      </w:r>
      <w:r w:rsidRPr="00DC1BC6">
        <w:t xml:space="preserve">: </w:t>
      </w:r>
      <w:r>
        <w:t xml:space="preserve">Transfer pump power switch in </w:t>
      </w:r>
      <w:r w:rsidR="00424489">
        <w:t xml:space="preserve">the </w:t>
      </w:r>
      <w:r>
        <w:t>off (O) position</w:t>
      </w:r>
    </w:p>
    <w:p w14:paraId="3485312F" w14:textId="740BC607" w:rsidR="00C62EB7" w:rsidRDefault="00C62EB7" w:rsidP="00086633">
      <w:pPr>
        <w:spacing w:after="0" w:line="240" w:lineRule="auto"/>
      </w:pPr>
    </w:p>
    <w:p w14:paraId="3E4A9D07" w14:textId="77777777" w:rsidR="00ED7933" w:rsidRDefault="00ED7933" w:rsidP="00086633">
      <w:pPr>
        <w:pStyle w:val="ListParagraph"/>
        <w:spacing w:after="0" w:line="240" w:lineRule="auto"/>
        <w:ind w:left="768"/>
      </w:pPr>
    </w:p>
    <w:p w14:paraId="1D90C107" w14:textId="32E7414B" w:rsidR="00BA4AE2" w:rsidRDefault="00E12CE6" w:rsidP="00BA4AE2">
      <w:pPr>
        <w:pStyle w:val="ListParagraph"/>
        <w:numPr>
          <w:ilvl w:val="0"/>
          <w:numId w:val="1"/>
        </w:numPr>
        <w:spacing w:after="0" w:line="240" w:lineRule="auto"/>
      </w:pPr>
      <w:r w:rsidRPr="00E12CE6">
        <w:t>Connect the</w:t>
      </w:r>
      <w:r w:rsidRPr="00F34A8A">
        <w:rPr>
          <w:u w:val="single"/>
        </w:rPr>
        <w:t xml:space="preserve"> red</w:t>
      </w:r>
      <w:r w:rsidRPr="00F34A8A">
        <w:t xml:space="preserve"> </w:t>
      </w:r>
      <w:r w:rsidRPr="00E12CE6">
        <w:t xml:space="preserve">clamp to the </w:t>
      </w:r>
      <w:r w:rsidRPr="00F34A8A">
        <w:rPr>
          <w:u w:val="single"/>
        </w:rPr>
        <w:t>positive</w:t>
      </w:r>
      <w:r w:rsidRPr="00E12CE6">
        <w:t xml:space="preserve"> (+) type battery terminal. Connect the </w:t>
      </w:r>
      <w:r w:rsidRPr="00F34A8A">
        <w:rPr>
          <w:u w:val="single"/>
        </w:rPr>
        <w:t>black</w:t>
      </w:r>
      <w:r w:rsidRPr="00E12CE6">
        <w:t xml:space="preserve"> clamp to the </w:t>
      </w:r>
      <w:r w:rsidRPr="00F34A8A">
        <w:rPr>
          <w:u w:val="single"/>
        </w:rPr>
        <w:t>negative</w:t>
      </w:r>
      <w:r w:rsidRPr="00E12CE6">
        <w:t xml:space="preserve"> (-) type battery terminal</w:t>
      </w:r>
      <w:r w:rsidR="00ED7933">
        <w:t xml:space="preserve"> </w:t>
      </w:r>
      <w:r w:rsidR="00424489">
        <w:t>(</w:t>
      </w:r>
      <w:r w:rsidR="00ED7933">
        <w:t>Fig. 7–8)</w:t>
      </w:r>
      <w:r w:rsidRPr="00E12CE6">
        <w:t>.</w:t>
      </w:r>
      <w:r w:rsidR="00D32138">
        <w:t xml:space="preserve"> </w:t>
      </w:r>
    </w:p>
    <w:p w14:paraId="2CE6CE8D" w14:textId="77777777" w:rsidR="0019765A" w:rsidRDefault="0019765A" w:rsidP="003D00E4">
      <w:pPr>
        <w:pStyle w:val="ListParagraph"/>
        <w:spacing w:after="0" w:line="240" w:lineRule="auto"/>
        <w:ind w:left="768"/>
      </w:pPr>
    </w:p>
    <w:p w14:paraId="0EC73FF7" w14:textId="77777777" w:rsidR="00BA4AE2" w:rsidRDefault="00BA4AE2" w:rsidP="00BA4AE2">
      <w:pPr>
        <w:spacing w:after="0" w:line="240" w:lineRule="auto"/>
      </w:pPr>
    </w:p>
    <w:p w14:paraId="2F2C5A6E" w14:textId="3A1EB4D1" w:rsidR="00E12CE6" w:rsidRDefault="00F42DD6" w:rsidP="00086633">
      <w:pPr>
        <w:spacing w:after="0" w:line="240" w:lineRule="auto"/>
        <w:ind w:left="408"/>
      </w:pPr>
      <w:r>
        <w:t xml:space="preserve">             </w:t>
      </w:r>
      <w:r w:rsidR="00E12CE6" w:rsidRPr="00E12CE6">
        <w:t xml:space="preserve"> </w:t>
      </w:r>
      <w:r>
        <w:rPr>
          <w:noProof/>
        </w:rPr>
        <w:drawing>
          <wp:inline distT="0" distB="0" distL="0" distR="0" wp14:anchorId="5AA996AC" wp14:editId="16077F81">
            <wp:extent cx="2660904" cy="2139696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904" cy="2139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2EFD">
        <w:t xml:space="preserve">                     </w:t>
      </w:r>
      <w:r w:rsidR="00412EFD">
        <w:rPr>
          <w:noProof/>
        </w:rPr>
        <w:drawing>
          <wp:inline distT="0" distB="0" distL="0" distR="0" wp14:anchorId="0A140579" wp14:editId="38B3306F">
            <wp:extent cx="1874520" cy="2496312"/>
            <wp:effectExtent l="19050" t="19050" r="11430" b="184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24963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AB6567E" w14:textId="77777777" w:rsidR="00ED7933" w:rsidRDefault="00ED7933" w:rsidP="00086633">
      <w:pPr>
        <w:pStyle w:val="ListParagraph"/>
        <w:spacing w:after="0" w:line="240" w:lineRule="auto"/>
        <w:ind w:left="768"/>
      </w:pPr>
    </w:p>
    <w:p w14:paraId="0BD82100" w14:textId="4137ADD2" w:rsidR="00ED7933" w:rsidRDefault="00ED7933" w:rsidP="00ED7933">
      <w:pPr>
        <w:spacing w:after="0" w:line="240" w:lineRule="auto"/>
        <w:jc w:val="center"/>
      </w:pPr>
      <w:r w:rsidRPr="00DC1BC6">
        <w:t xml:space="preserve">Figure </w:t>
      </w:r>
      <w:r>
        <w:t>7</w:t>
      </w:r>
      <w:r w:rsidRPr="00DC1BC6">
        <w:t xml:space="preserve">: </w:t>
      </w:r>
      <w:r>
        <w:t>Schematic of transfer pump and power source.</w:t>
      </w:r>
    </w:p>
    <w:p w14:paraId="10141B06" w14:textId="4A87C9AC" w:rsidR="00ED7933" w:rsidRDefault="00ED7933" w:rsidP="00ED7933">
      <w:pPr>
        <w:spacing w:after="0" w:line="240" w:lineRule="auto"/>
        <w:jc w:val="center"/>
      </w:pPr>
      <w:r>
        <w:t xml:space="preserve">Figure 8: Transfer pump </w:t>
      </w:r>
      <w:r w:rsidR="00424489">
        <w:t>battery</w:t>
      </w:r>
      <w:r>
        <w:t xml:space="preserve"> clamps attached to 12-v battery.</w:t>
      </w:r>
    </w:p>
    <w:p w14:paraId="7D76A7B5" w14:textId="77777777" w:rsidR="00ED7933" w:rsidRDefault="00ED7933" w:rsidP="00ED7933">
      <w:pPr>
        <w:spacing w:after="0" w:line="240" w:lineRule="auto"/>
      </w:pPr>
    </w:p>
    <w:p w14:paraId="7B993344" w14:textId="77777777" w:rsidR="00ED7933" w:rsidRDefault="00ED7933" w:rsidP="00086633">
      <w:pPr>
        <w:spacing w:after="0" w:line="240" w:lineRule="auto"/>
        <w:ind w:left="408"/>
      </w:pPr>
    </w:p>
    <w:p w14:paraId="4C952010" w14:textId="77777777" w:rsidR="00424489" w:rsidRDefault="00424489" w:rsidP="00BA197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safety station </w:t>
      </w:r>
      <w:r w:rsidRPr="0019765A">
        <w:rPr>
          <w:u w:val="single"/>
        </w:rPr>
        <w:t xml:space="preserve">should be prepped and ready to use </w:t>
      </w:r>
      <w:r w:rsidRPr="0019765A">
        <w:t>prior to the start</w:t>
      </w:r>
      <w:r>
        <w:t xml:space="preserve"> of chemical treatment.</w:t>
      </w:r>
    </w:p>
    <w:p w14:paraId="23BB3FB6" w14:textId="2816D927" w:rsidR="00424489" w:rsidRDefault="00424489" w:rsidP="00424489">
      <w:pPr>
        <w:pStyle w:val="ListParagraph"/>
        <w:numPr>
          <w:ilvl w:val="1"/>
          <w:numId w:val="1"/>
        </w:numPr>
        <w:spacing w:after="0" w:line="240" w:lineRule="auto"/>
      </w:pPr>
      <w:r>
        <w:t xml:space="preserve">Ensure that the </w:t>
      </w:r>
      <w:r w:rsidR="00ED7933">
        <w:t>rinse hose (</w:t>
      </w:r>
      <w:r w:rsidR="00B937FC">
        <w:t>white garden hose</w:t>
      </w:r>
      <w:r w:rsidR="00ED7933">
        <w:t>)</w:t>
      </w:r>
      <w:r>
        <w:t xml:space="preserve"> is pointed</w:t>
      </w:r>
      <w:r w:rsidR="00B937FC">
        <w:t xml:space="preserve"> away from the pump and battery</w:t>
      </w:r>
      <w:r>
        <w:t>.</w:t>
      </w:r>
    </w:p>
    <w:p w14:paraId="149DE7D5" w14:textId="7FF7652F" w:rsidR="00B937FC" w:rsidRDefault="00424489" w:rsidP="00086633">
      <w:pPr>
        <w:pStyle w:val="ListParagraph"/>
        <w:numPr>
          <w:ilvl w:val="1"/>
          <w:numId w:val="1"/>
        </w:numPr>
        <w:spacing w:after="0" w:line="240" w:lineRule="auto"/>
      </w:pPr>
      <w:r>
        <w:t>In the case of an emergency</w:t>
      </w:r>
      <w:r w:rsidR="00B937FC">
        <w:t xml:space="preserve">, turn </w:t>
      </w:r>
      <w:r>
        <w:t>the</w:t>
      </w:r>
      <w:r w:rsidR="0099319A">
        <w:t xml:space="preserve"> pump</w:t>
      </w:r>
      <w:r>
        <w:t xml:space="preserve"> on or the switch to</w:t>
      </w:r>
      <w:r w:rsidR="00B80447">
        <w:t xml:space="preserve"> “</w:t>
      </w:r>
      <w:r>
        <w:t>1 or -</w:t>
      </w:r>
      <w:r w:rsidR="00412EFD">
        <w:t>”</w:t>
      </w:r>
      <w:r w:rsidR="00B937FC">
        <w:t xml:space="preserve"> </w:t>
      </w:r>
      <w:r>
        <w:t>position on</w:t>
      </w:r>
      <w:r w:rsidR="003D1A0D">
        <w:t xml:space="preserve"> the</w:t>
      </w:r>
      <w:r w:rsidR="00B937FC">
        <w:t xml:space="preserve"> battery cables.</w:t>
      </w:r>
    </w:p>
    <w:p w14:paraId="15CD2A70" w14:textId="77777777" w:rsidR="00C62EB7" w:rsidRDefault="00C62EB7" w:rsidP="00086633">
      <w:pPr>
        <w:pStyle w:val="ListParagraph"/>
        <w:spacing w:after="0" w:line="240" w:lineRule="auto"/>
        <w:ind w:left="768"/>
      </w:pPr>
      <w:r>
        <w:t xml:space="preserve">                                               </w:t>
      </w:r>
    </w:p>
    <w:p w14:paraId="4029AFDD" w14:textId="77777777" w:rsidR="00C62EB7" w:rsidRDefault="00C62EB7" w:rsidP="00086633">
      <w:pPr>
        <w:pStyle w:val="ListParagraph"/>
        <w:spacing w:after="0" w:line="240" w:lineRule="auto"/>
        <w:ind w:left="768"/>
      </w:pPr>
    </w:p>
    <w:p w14:paraId="30AB4C76" w14:textId="2257FD0C" w:rsidR="00B937FC" w:rsidRDefault="00C62EB7" w:rsidP="00086633">
      <w:pPr>
        <w:pStyle w:val="ListParagraph"/>
        <w:spacing w:after="0" w:line="240" w:lineRule="auto"/>
        <w:ind w:left="768"/>
      </w:pPr>
      <w:r>
        <w:lastRenderedPageBreak/>
        <w:t xml:space="preserve">            </w:t>
      </w:r>
      <w:r w:rsidR="00F42DD6">
        <w:t xml:space="preserve">                                      </w:t>
      </w:r>
      <w:r>
        <w:t xml:space="preserve">  </w:t>
      </w:r>
      <w:r w:rsidR="00F42DD6">
        <w:t xml:space="preserve"> </w:t>
      </w:r>
      <w:r>
        <w:t xml:space="preserve">  </w:t>
      </w:r>
      <w:r w:rsidR="00B937FC">
        <w:t xml:space="preserve"> </w:t>
      </w:r>
      <w:r w:rsidR="00B937FC">
        <w:rPr>
          <w:noProof/>
        </w:rPr>
        <w:drawing>
          <wp:inline distT="0" distB="0" distL="0" distR="0" wp14:anchorId="447CB59D" wp14:editId="38B9AF6E">
            <wp:extent cx="1843587" cy="1947192"/>
            <wp:effectExtent l="19050" t="19050" r="23495" b="152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668" cy="19599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42DD6">
        <w:rPr>
          <w:noProof/>
        </w:rPr>
        <w:t xml:space="preserve">              </w:t>
      </w:r>
    </w:p>
    <w:p w14:paraId="469BDE17" w14:textId="77777777" w:rsidR="00424489" w:rsidRDefault="00424489" w:rsidP="00424489">
      <w:pPr>
        <w:spacing w:after="0" w:line="240" w:lineRule="auto"/>
        <w:jc w:val="center"/>
      </w:pPr>
    </w:p>
    <w:p w14:paraId="44D4A402" w14:textId="32BC71F1" w:rsidR="00424489" w:rsidRDefault="00424489" w:rsidP="00424489">
      <w:pPr>
        <w:spacing w:after="0" w:line="240" w:lineRule="auto"/>
        <w:jc w:val="center"/>
      </w:pPr>
      <w:r w:rsidRPr="00DC1BC6">
        <w:t xml:space="preserve">Figure </w:t>
      </w:r>
      <w:r>
        <w:t>9</w:t>
      </w:r>
      <w:r w:rsidRPr="00DC1BC6">
        <w:t xml:space="preserve">: </w:t>
      </w:r>
      <w:r>
        <w:t>Transfer pump power switch in the on (1 or -) position</w:t>
      </w:r>
    </w:p>
    <w:p w14:paraId="3E1C33DD" w14:textId="77777777" w:rsidR="00EF2972" w:rsidRDefault="00EF2972" w:rsidP="00086633">
      <w:pPr>
        <w:spacing w:after="0" w:line="240" w:lineRule="auto"/>
      </w:pPr>
    </w:p>
    <w:p w14:paraId="6CCC8AE0" w14:textId="77777777" w:rsidR="00424489" w:rsidRDefault="00424489" w:rsidP="00086633">
      <w:pPr>
        <w:pStyle w:val="ListParagraph"/>
        <w:spacing w:after="0" w:line="240" w:lineRule="auto"/>
        <w:ind w:left="768"/>
      </w:pPr>
    </w:p>
    <w:p w14:paraId="48E00895" w14:textId="77777777" w:rsidR="00424489" w:rsidRDefault="00424489" w:rsidP="00086633">
      <w:pPr>
        <w:pStyle w:val="ListParagraph"/>
        <w:spacing w:after="0" w:line="240" w:lineRule="auto"/>
        <w:ind w:left="768"/>
      </w:pPr>
    </w:p>
    <w:p w14:paraId="13A60B7B" w14:textId="77777777" w:rsidR="00424489" w:rsidRDefault="00424489" w:rsidP="00BA197D">
      <w:pPr>
        <w:pStyle w:val="ListParagraph"/>
        <w:numPr>
          <w:ilvl w:val="0"/>
          <w:numId w:val="1"/>
        </w:numPr>
        <w:spacing w:after="0" w:line="240" w:lineRule="auto"/>
      </w:pPr>
      <w:r>
        <w:t>Staff at the safety station should monitor the water level in the carboy and be prepared to quickly move the transfer pump hose to the 2</w:t>
      </w:r>
      <w:r w:rsidRPr="00086633">
        <w:rPr>
          <w:vertAlign w:val="superscript"/>
        </w:rPr>
        <w:t>nd</w:t>
      </w:r>
      <w:r>
        <w:t xml:space="preserve"> and 3</w:t>
      </w:r>
      <w:r w:rsidRPr="00086633">
        <w:rPr>
          <w:vertAlign w:val="superscript"/>
        </w:rPr>
        <w:t>rd</w:t>
      </w:r>
      <w:r>
        <w:t xml:space="preserve"> carboys.</w:t>
      </w:r>
    </w:p>
    <w:p w14:paraId="7F23E5CA" w14:textId="50F1A892" w:rsidR="00F42DD6" w:rsidRDefault="00424489" w:rsidP="00086633">
      <w:pPr>
        <w:pStyle w:val="ListParagraph"/>
        <w:numPr>
          <w:ilvl w:val="1"/>
          <w:numId w:val="1"/>
        </w:numPr>
        <w:spacing w:after="0" w:line="240" w:lineRule="auto"/>
      </w:pPr>
      <w:r>
        <w:t>Hoses should be disconnected and reconnected using the quick-connect fittings</w:t>
      </w:r>
      <w:r w:rsidR="00EF2972">
        <w:t>.</w:t>
      </w:r>
    </w:p>
    <w:p w14:paraId="29BADBED" w14:textId="76FCB922" w:rsidR="00424489" w:rsidRDefault="00424489" w:rsidP="00BA197D">
      <w:pPr>
        <w:pStyle w:val="ListParagraph"/>
        <w:numPr>
          <w:ilvl w:val="0"/>
          <w:numId w:val="1"/>
        </w:numPr>
        <w:spacing w:after="0" w:line="240" w:lineRule="auto"/>
      </w:pPr>
      <w:r>
        <w:t>After all the carboys are drained or adequate rinsing of contaminated staff has occurred, turn off the transfer pump (switch to ‘O’ position).</w:t>
      </w:r>
    </w:p>
    <w:p w14:paraId="2EB2B177" w14:textId="2F3DCD43" w:rsidR="00D32138" w:rsidRDefault="00D32138" w:rsidP="00086633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Disconnect </w:t>
      </w:r>
      <w:r w:rsidR="00424489">
        <w:t xml:space="preserve">transfer pump </w:t>
      </w:r>
      <w:r>
        <w:t xml:space="preserve">battery </w:t>
      </w:r>
      <w:r w:rsidR="00424489">
        <w:t xml:space="preserve">cable </w:t>
      </w:r>
      <w:r>
        <w:t xml:space="preserve">terminals from battery by removing the </w:t>
      </w:r>
      <w:r w:rsidRPr="00F34A8A">
        <w:rPr>
          <w:u w:val="single"/>
        </w:rPr>
        <w:t>black</w:t>
      </w:r>
      <w:r w:rsidRPr="00E12CE6">
        <w:t xml:space="preserve"> clamp </w:t>
      </w:r>
      <w:r>
        <w:t>from</w:t>
      </w:r>
      <w:r w:rsidRPr="00E12CE6">
        <w:t xml:space="preserve"> the </w:t>
      </w:r>
      <w:r w:rsidRPr="00F34A8A">
        <w:rPr>
          <w:u w:val="single"/>
        </w:rPr>
        <w:t>negative</w:t>
      </w:r>
      <w:r w:rsidRPr="00E12CE6">
        <w:t xml:space="preserve"> (-) type battery terminal</w:t>
      </w:r>
      <w:r w:rsidR="00EF2972">
        <w:t xml:space="preserve"> first</w:t>
      </w:r>
      <w:r>
        <w:t xml:space="preserve"> and</w:t>
      </w:r>
      <w:r w:rsidR="00EF2972">
        <w:t xml:space="preserve"> then</w:t>
      </w:r>
      <w:r>
        <w:t xml:space="preserve"> </w:t>
      </w:r>
      <w:r w:rsidRPr="00E12CE6">
        <w:t xml:space="preserve">the </w:t>
      </w:r>
      <w:r w:rsidRPr="00F34A8A">
        <w:rPr>
          <w:u w:val="single"/>
        </w:rPr>
        <w:t>red</w:t>
      </w:r>
      <w:r w:rsidRPr="00E12CE6">
        <w:t xml:space="preserve"> clamp </w:t>
      </w:r>
      <w:r>
        <w:t>from</w:t>
      </w:r>
      <w:r w:rsidRPr="00E12CE6">
        <w:t xml:space="preserve"> the </w:t>
      </w:r>
      <w:r w:rsidRPr="00F34A8A">
        <w:rPr>
          <w:u w:val="single"/>
        </w:rPr>
        <w:t>positive</w:t>
      </w:r>
      <w:r w:rsidRPr="00E12CE6">
        <w:t xml:space="preserve"> (+) type battery terminal</w:t>
      </w:r>
      <w:r>
        <w:t xml:space="preserve">. </w:t>
      </w:r>
    </w:p>
    <w:p w14:paraId="7E2D36FE" w14:textId="077E733A" w:rsidR="00424489" w:rsidRDefault="00424489" w:rsidP="00424489">
      <w:pPr>
        <w:spacing w:after="0" w:line="240" w:lineRule="auto"/>
      </w:pPr>
    </w:p>
    <w:p w14:paraId="1A96ADDB" w14:textId="77777777" w:rsidR="00A77DDC" w:rsidRDefault="00A77DDC" w:rsidP="00424489">
      <w:pPr>
        <w:spacing w:after="0" w:line="240" w:lineRule="auto"/>
        <w:rPr>
          <w:sz w:val="28"/>
          <w:szCs w:val="28"/>
          <w:u w:val="single"/>
        </w:rPr>
      </w:pPr>
    </w:p>
    <w:p w14:paraId="1917204F" w14:textId="01B51296" w:rsidR="00424489" w:rsidRPr="00086633" w:rsidRDefault="00424489" w:rsidP="00086633">
      <w:pPr>
        <w:spacing w:after="0" w:line="240" w:lineRule="auto"/>
        <w:rPr>
          <w:sz w:val="28"/>
          <w:szCs w:val="28"/>
          <w:u w:val="single"/>
        </w:rPr>
      </w:pPr>
      <w:r w:rsidRPr="00086633">
        <w:rPr>
          <w:sz w:val="28"/>
          <w:szCs w:val="28"/>
          <w:u w:val="single"/>
        </w:rPr>
        <w:t>Storage</w:t>
      </w:r>
    </w:p>
    <w:p w14:paraId="18393DEA" w14:textId="61DCC37A" w:rsidR="00EF2972" w:rsidRDefault="00424489" w:rsidP="00424489">
      <w:pPr>
        <w:pStyle w:val="ListParagraph"/>
        <w:numPr>
          <w:ilvl w:val="0"/>
          <w:numId w:val="2"/>
        </w:numPr>
        <w:spacing w:after="0" w:line="240" w:lineRule="auto"/>
      </w:pPr>
      <w:r>
        <w:t>Prior to storage, d</w:t>
      </w:r>
      <w:r w:rsidR="00EF2972">
        <w:t>isconnect all hoses from pump and carboys and allow hoses and pump to drain adequately.</w:t>
      </w:r>
    </w:p>
    <w:p w14:paraId="507E3D98" w14:textId="078B9F5C" w:rsidR="00A77DDC" w:rsidRDefault="00A77DDC" w:rsidP="00086633">
      <w:pPr>
        <w:pStyle w:val="ListParagraph"/>
        <w:numPr>
          <w:ilvl w:val="0"/>
          <w:numId w:val="2"/>
        </w:numPr>
        <w:spacing w:after="0" w:line="240" w:lineRule="auto"/>
      </w:pPr>
      <w:r>
        <w:t>Inspect hose, cables, labeling and replace as needed</w:t>
      </w:r>
    </w:p>
    <w:p w14:paraId="1981343B" w14:textId="5CA477A3" w:rsidR="00EF2972" w:rsidRDefault="00EF2972" w:rsidP="00424489">
      <w:pPr>
        <w:pStyle w:val="ListParagraph"/>
        <w:numPr>
          <w:ilvl w:val="0"/>
          <w:numId w:val="2"/>
        </w:numPr>
        <w:spacing w:after="0" w:line="240" w:lineRule="auto"/>
      </w:pPr>
      <w:r>
        <w:t>Once dry</w:t>
      </w:r>
      <w:r w:rsidR="00424489">
        <w:t>,</w:t>
      </w:r>
      <w:r>
        <w:t xml:space="preserve"> store </w:t>
      </w:r>
      <w:r w:rsidR="00424489">
        <w:t xml:space="preserve">transfer </w:t>
      </w:r>
      <w:r>
        <w:t>pump in original box.</w:t>
      </w:r>
    </w:p>
    <w:p w14:paraId="5D1A3AC7" w14:textId="679892AA" w:rsidR="00424489" w:rsidRPr="00E12CE6" w:rsidRDefault="00424489" w:rsidP="00086633">
      <w:pPr>
        <w:pStyle w:val="ListParagraph"/>
        <w:numPr>
          <w:ilvl w:val="0"/>
          <w:numId w:val="2"/>
        </w:numPr>
        <w:spacing w:after="0" w:line="240" w:lineRule="auto"/>
      </w:pPr>
      <w:r>
        <w:t>Store hoses in labeled container with transfer pump.</w:t>
      </w:r>
    </w:p>
    <w:sectPr w:rsidR="00424489" w:rsidRPr="00E12CE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B97BC" w14:textId="77777777" w:rsidR="0016094D" w:rsidRDefault="0016094D" w:rsidP="00A77DDC">
      <w:pPr>
        <w:spacing w:after="0" w:line="240" w:lineRule="auto"/>
      </w:pPr>
      <w:r>
        <w:separator/>
      </w:r>
    </w:p>
  </w:endnote>
  <w:endnote w:type="continuationSeparator" w:id="0">
    <w:p w14:paraId="2EAC1C73" w14:textId="77777777" w:rsidR="0016094D" w:rsidRDefault="0016094D" w:rsidP="00A77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9F24" w14:textId="77777777" w:rsidR="007A7132" w:rsidRDefault="007A71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F519" w14:textId="77777777" w:rsidR="007A7132" w:rsidRDefault="007A71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8C4E" w14:textId="77777777" w:rsidR="007A7132" w:rsidRDefault="007A71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7167D" w14:textId="77777777" w:rsidR="0016094D" w:rsidRDefault="0016094D" w:rsidP="00A77DDC">
      <w:pPr>
        <w:spacing w:after="0" w:line="240" w:lineRule="auto"/>
      </w:pPr>
      <w:r>
        <w:separator/>
      </w:r>
    </w:p>
  </w:footnote>
  <w:footnote w:type="continuationSeparator" w:id="0">
    <w:p w14:paraId="30A91129" w14:textId="77777777" w:rsidR="0016094D" w:rsidRDefault="0016094D" w:rsidP="00A77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E6B4C" w14:textId="77777777" w:rsidR="007A7132" w:rsidRDefault="007A71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763212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60579D" w14:textId="77777777" w:rsidR="007A7132" w:rsidRPr="0090420A" w:rsidRDefault="007A7132" w:rsidP="007A7132">
        <w:pPr>
          <w:spacing w:after="0" w:line="240" w:lineRule="auto"/>
          <w:jc w:val="center"/>
          <w:rPr>
            <w:b/>
            <w:bCs/>
            <w:i/>
            <w:iCs/>
            <w:sz w:val="20"/>
            <w:szCs w:val="20"/>
          </w:rPr>
        </w:pPr>
        <w:r w:rsidRPr="0090420A">
          <w:rPr>
            <w:b/>
            <w:bCs/>
            <w:i/>
            <w:iCs/>
            <w:sz w:val="20"/>
            <w:szCs w:val="20"/>
          </w:rPr>
          <w:t>*For users other than USGS-CERC staff, this document is for reference only. This is not a citable document.*</w:t>
        </w:r>
      </w:p>
      <w:p w14:paraId="6E6975B7" w14:textId="2D0DD8BC" w:rsidR="00F448B8" w:rsidRDefault="00F448B8">
        <w:pPr>
          <w:pStyle w:val="Header"/>
          <w:jc w:val="right"/>
        </w:pP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82E750" w14:textId="7B9A6D8B" w:rsidR="00A77DDC" w:rsidRDefault="00A77DDC" w:rsidP="00F448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DE7C1" w14:textId="77777777" w:rsidR="007A7132" w:rsidRDefault="007A71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93F2A"/>
    <w:multiLevelType w:val="hybridMultilevel"/>
    <w:tmpl w:val="E7706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51475C"/>
    <w:multiLevelType w:val="hybridMultilevel"/>
    <w:tmpl w:val="85A80680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71313419"/>
    <w:multiLevelType w:val="hybridMultilevel"/>
    <w:tmpl w:val="85A80680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21418220">
    <w:abstractNumId w:val="1"/>
  </w:num>
  <w:num w:numId="2" w16cid:durableId="1840460807">
    <w:abstractNumId w:val="2"/>
  </w:num>
  <w:num w:numId="3" w16cid:durableId="1474908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060"/>
    <w:rsid w:val="00086633"/>
    <w:rsid w:val="0009110A"/>
    <w:rsid w:val="0013491A"/>
    <w:rsid w:val="0016094D"/>
    <w:rsid w:val="0019765A"/>
    <w:rsid w:val="001A3882"/>
    <w:rsid w:val="001C65FE"/>
    <w:rsid w:val="001D7068"/>
    <w:rsid w:val="002478CC"/>
    <w:rsid w:val="003278A4"/>
    <w:rsid w:val="003D00E4"/>
    <w:rsid w:val="003D1A0D"/>
    <w:rsid w:val="003D7C5D"/>
    <w:rsid w:val="003F5248"/>
    <w:rsid w:val="00412EFD"/>
    <w:rsid w:val="00424489"/>
    <w:rsid w:val="00485172"/>
    <w:rsid w:val="004C2769"/>
    <w:rsid w:val="005C27F0"/>
    <w:rsid w:val="00630576"/>
    <w:rsid w:val="006764C6"/>
    <w:rsid w:val="006E2CE3"/>
    <w:rsid w:val="00762635"/>
    <w:rsid w:val="0078010B"/>
    <w:rsid w:val="007A7132"/>
    <w:rsid w:val="007D5361"/>
    <w:rsid w:val="0081237D"/>
    <w:rsid w:val="008D1C04"/>
    <w:rsid w:val="0090420A"/>
    <w:rsid w:val="0099319A"/>
    <w:rsid w:val="009B42FC"/>
    <w:rsid w:val="00A30AF0"/>
    <w:rsid w:val="00A77DDC"/>
    <w:rsid w:val="00AB65AE"/>
    <w:rsid w:val="00AD2060"/>
    <w:rsid w:val="00AD6153"/>
    <w:rsid w:val="00AF2E77"/>
    <w:rsid w:val="00B553E6"/>
    <w:rsid w:val="00B80447"/>
    <w:rsid w:val="00B92F49"/>
    <w:rsid w:val="00B937FC"/>
    <w:rsid w:val="00BA197D"/>
    <w:rsid w:val="00BA4AE2"/>
    <w:rsid w:val="00C62EB7"/>
    <w:rsid w:val="00C83858"/>
    <w:rsid w:val="00CD698D"/>
    <w:rsid w:val="00D04668"/>
    <w:rsid w:val="00D32138"/>
    <w:rsid w:val="00D572BC"/>
    <w:rsid w:val="00DD223A"/>
    <w:rsid w:val="00DF1201"/>
    <w:rsid w:val="00E12CE6"/>
    <w:rsid w:val="00ED7933"/>
    <w:rsid w:val="00EF2972"/>
    <w:rsid w:val="00EF5D87"/>
    <w:rsid w:val="00F34A8A"/>
    <w:rsid w:val="00F42DD6"/>
    <w:rsid w:val="00F448B8"/>
    <w:rsid w:val="00F448F8"/>
    <w:rsid w:val="00F8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71C3D"/>
  <w15:chartTrackingRefBased/>
  <w15:docId w15:val="{DA541113-F212-4D81-B825-2905926A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C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DDC"/>
  </w:style>
  <w:style w:type="paragraph" w:styleId="Footer">
    <w:name w:val="footer"/>
    <w:basedOn w:val="Normal"/>
    <w:link w:val="FooterChar"/>
    <w:uiPriority w:val="99"/>
    <w:unhideWhenUsed/>
    <w:rsid w:val="00A77D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D196E-FAC8-4C1E-92EC-31D7D7D6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Beaman, Zachary D</dc:creator>
  <cp:keywords/>
  <dc:description/>
  <cp:lastModifiedBy>Allert, Ann L</cp:lastModifiedBy>
  <cp:revision>15</cp:revision>
  <dcterms:created xsi:type="dcterms:W3CDTF">2022-04-13T16:54:00Z</dcterms:created>
  <dcterms:modified xsi:type="dcterms:W3CDTF">2024-02-16T14:00:00Z</dcterms:modified>
</cp:coreProperties>
</file>