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919E1" w14:textId="77777777" w:rsidR="00356371" w:rsidRPr="00D26F6F" w:rsidRDefault="00356371" w:rsidP="00356371">
      <w:pPr>
        <w:spacing w:after="0" w:line="240" w:lineRule="auto"/>
        <w:rPr>
          <w:b/>
          <w:bCs/>
          <w:i/>
          <w:iCs/>
          <w:sz w:val="20"/>
          <w:szCs w:val="20"/>
        </w:rPr>
      </w:pPr>
    </w:p>
    <w:p w14:paraId="776E54AB" w14:textId="77777777" w:rsidR="00D310AF" w:rsidRDefault="00D310AF" w:rsidP="0035637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9CFEE17" w14:textId="23CFD6C0" w:rsidR="0035446C" w:rsidRPr="002F7C30" w:rsidRDefault="00F1029D" w:rsidP="00356371">
      <w:pPr>
        <w:spacing w:after="0" w:line="240" w:lineRule="auto"/>
        <w:rPr>
          <w:rFonts w:cstheme="minorHAnsi"/>
          <w:b/>
          <w:sz w:val="24"/>
          <w:szCs w:val="24"/>
        </w:rPr>
      </w:pPr>
      <w:r w:rsidRPr="002F7C30">
        <w:rPr>
          <w:rFonts w:cstheme="minorHAnsi"/>
          <w:b/>
          <w:sz w:val="24"/>
          <w:szCs w:val="24"/>
        </w:rPr>
        <w:t>Product and Safety Information</w:t>
      </w:r>
      <w:r w:rsidR="00776FBC" w:rsidRPr="002F7C30">
        <w:rPr>
          <w:rFonts w:cstheme="minorHAnsi"/>
          <w:b/>
          <w:sz w:val="24"/>
          <w:szCs w:val="24"/>
        </w:rPr>
        <w:t xml:space="preserve"> for a Pyrethrin Formulation</w:t>
      </w:r>
    </w:p>
    <w:p w14:paraId="78EDB2C2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1EFA47A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 xml:space="preserve">Product and Company Identification:  </w:t>
      </w:r>
    </w:p>
    <w:p w14:paraId="7185BAA7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proofErr w:type="spellStart"/>
      <w:r w:rsidRPr="002F7C30">
        <w:rPr>
          <w:rFonts w:cstheme="minorHAnsi"/>
          <w:b/>
          <w:bCs/>
        </w:rPr>
        <w:t>Prentox</w:t>
      </w:r>
      <w:proofErr w:type="spellEnd"/>
      <w:r w:rsidRPr="002F7C30">
        <w:rPr>
          <w:rFonts w:cstheme="minorHAnsi"/>
          <w:b/>
          <w:bCs/>
        </w:rPr>
        <w:t xml:space="preserve">® </w:t>
      </w:r>
      <w:proofErr w:type="spellStart"/>
      <w:r w:rsidRPr="002F7C30">
        <w:rPr>
          <w:rFonts w:cstheme="minorHAnsi"/>
          <w:b/>
          <w:bCs/>
        </w:rPr>
        <w:t>ExciteR</w:t>
      </w:r>
      <w:proofErr w:type="spellEnd"/>
      <w:r w:rsidRPr="002F7C30">
        <w:rPr>
          <w:rFonts w:cstheme="minorHAnsi"/>
          <w:b/>
          <w:bCs/>
        </w:rPr>
        <w:t>™</w:t>
      </w:r>
    </w:p>
    <w:p w14:paraId="32568CCF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EPA Reg. Number: 655-798</w:t>
      </w:r>
    </w:p>
    <w:p w14:paraId="3D64A9A8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EPA Signal Word: Caution</w:t>
      </w:r>
    </w:p>
    <w:p w14:paraId="59CD5E4F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>Company Identification:</w:t>
      </w:r>
    </w:p>
    <w:p w14:paraId="36A7D318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proofErr w:type="spellStart"/>
      <w:r w:rsidRPr="002F7C30">
        <w:rPr>
          <w:rFonts w:cstheme="minorHAnsi"/>
        </w:rPr>
        <w:t>Envincio</w:t>
      </w:r>
      <w:proofErr w:type="spellEnd"/>
      <w:r w:rsidRPr="002F7C30">
        <w:rPr>
          <w:rFonts w:cstheme="minorHAnsi"/>
        </w:rPr>
        <w:t xml:space="preserve"> LLC</w:t>
      </w:r>
    </w:p>
    <w:p w14:paraId="5F5A03C1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501 Cascade Pointe Lane, Suite 103</w:t>
      </w:r>
    </w:p>
    <w:p w14:paraId="1B4EDA42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Cary, NC 27513</w:t>
      </w:r>
    </w:p>
    <w:p w14:paraId="3B17D2F8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F7C30">
        <w:rPr>
          <w:rFonts w:cstheme="minorHAnsi"/>
        </w:rPr>
        <w:t>www.envincio.com</w:t>
      </w:r>
    </w:p>
    <w:p w14:paraId="1C054864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1B6E512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>Active Ingredients CAS No. % Composition:</w:t>
      </w:r>
    </w:p>
    <w:p w14:paraId="307E949E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Pyrethrins 8003-34-7 6.0</w:t>
      </w:r>
    </w:p>
    <w:p w14:paraId="03184A44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Piperonyl Butoxide Technical 51-03-6 60.0</w:t>
      </w:r>
    </w:p>
    <w:p w14:paraId="55E5D683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>Other Ingredients:</w:t>
      </w:r>
    </w:p>
    <w:p w14:paraId="6D634831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Emulsifier CAS NO. - Supplier confidential</w:t>
      </w:r>
    </w:p>
    <w:p w14:paraId="14D56029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Petroleum solvent 64742-47-8 (TWA) 300 ppm*</w:t>
      </w:r>
    </w:p>
    <w:p w14:paraId="58D6CF26" w14:textId="77777777" w:rsidR="006408B4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*Supplier recommendation</w:t>
      </w:r>
    </w:p>
    <w:p w14:paraId="32771C3B" w14:textId="77777777" w:rsidR="002F7C30" w:rsidRDefault="002F7C30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D5BEDE" w14:textId="1D2603D4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ind w:left="720" w:firstLine="720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 xml:space="preserve">OSHA </w:t>
      </w:r>
      <w:r w:rsidRPr="002F7C30">
        <w:rPr>
          <w:rFonts w:cstheme="minorHAnsi"/>
          <w:b/>
          <w:bCs/>
        </w:rPr>
        <w:tab/>
      </w:r>
      <w:r w:rsidR="008227C9" w:rsidRPr="002F7C30">
        <w:rPr>
          <w:rFonts w:cstheme="minorHAnsi"/>
          <w:b/>
          <w:bCs/>
        </w:rPr>
        <w:tab/>
      </w:r>
      <w:r w:rsidRPr="002F7C30">
        <w:rPr>
          <w:rFonts w:cstheme="minorHAnsi"/>
          <w:b/>
          <w:bCs/>
        </w:rPr>
        <w:t xml:space="preserve">ACGIH </w:t>
      </w:r>
      <w:r w:rsidR="000821F9" w:rsidRPr="002F7C30">
        <w:rPr>
          <w:rFonts w:cstheme="minorHAnsi"/>
          <w:b/>
          <w:bCs/>
        </w:rPr>
        <w:tab/>
      </w:r>
      <w:r w:rsidRPr="002F7C30">
        <w:rPr>
          <w:rFonts w:cstheme="minorHAnsi"/>
          <w:b/>
          <w:bCs/>
        </w:rPr>
        <w:t>NTP/IARC/OSHA</w:t>
      </w:r>
    </w:p>
    <w:p w14:paraId="7A083139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 xml:space="preserve">Material </w:t>
      </w:r>
      <w:r w:rsidRPr="002F7C30">
        <w:rPr>
          <w:rFonts w:cstheme="minorHAnsi"/>
          <w:b/>
          <w:bCs/>
          <w:u w:val="single"/>
        </w:rPr>
        <w:tab/>
        <w:t xml:space="preserve">PEL </w:t>
      </w:r>
      <w:r w:rsidRPr="002F7C30">
        <w:rPr>
          <w:rFonts w:cstheme="minorHAnsi"/>
          <w:b/>
          <w:bCs/>
          <w:u w:val="single"/>
        </w:rPr>
        <w:tab/>
      </w:r>
      <w:r w:rsidR="000821F9" w:rsidRPr="002F7C30">
        <w:rPr>
          <w:rFonts w:cstheme="minorHAnsi"/>
          <w:b/>
          <w:bCs/>
          <w:u w:val="single"/>
        </w:rPr>
        <w:tab/>
      </w:r>
      <w:r w:rsidRPr="002F7C30">
        <w:rPr>
          <w:rFonts w:cstheme="minorHAnsi"/>
          <w:b/>
          <w:bCs/>
          <w:u w:val="single"/>
        </w:rPr>
        <w:t xml:space="preserve">TLV </w:t>
      </w:r>
      <w:r w:rsidRPr="002F7C30">
        <w:rPr>
          <w:rFonts w:cstheme="minorHAnsi"/>
          <w:b/>
          <w:bCs/>
          <w:u w:val="single"/>
        </w:rPr>
        <w:tab/>
      </w:r>
      <w:r w:rsidR="000821F9" w:rsidRPr="002F7C30">
        <w:rPr>
          <w:rFonts w:cstheme="minorHAnsi"/>
          <w:b/>
          <w:bCs/>
          <w:u w:val="single"/>
        </w:rPr>
        <w:tab/>
      </w:r>
      <w:r w:rsidRPr="002F7C30">
        <w:rPr>
          <w:rFonts w:cstheme="minorHAnsi"/>
          <w:b/>
          <w:bCs/>
          <w:u w:val="single"/>
        </w:rPr>
        <w:t>Other Carcinogen</w:t>
      </w:r>
    </w:p>
    <w:p w14:paraId="27554B19" w14:textId="78D28B33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 xml:space="preserve">Pyrethrins </w:t>
      </w:r>
      <w:r w:rsidRPr="002F7C30">
        <w:rPr>
          <w:rFonts w:cstheme="minorHAnsi"/>
        </w:rPr>
        <w:tab/>
        <w:t xml:space="preserve">Not Est. (TWA) Not Est. </w:t>
      </w:r>
      <w:r w:rsidR="000821F9" w:rsidRPr="002F7C30">
        <w:rPr>
          <w:rFonts w:cstheme="minorHAnsi"/>
        </w:rPr>
        <w:tab/>
      </w:r>
      <w:r w:rsidRPr="002F7C30">
        <w:rPr>
          <w:rFonts w:cstheme="minorHAnsi"/>
        </w:rPr>
        <w:t>No</w:t>
      </w:r>
      <w:r w:rsidR="000821F9" w:rsidRPr="002F7C30">
        <w:rPr>
          <w:rFonts w:cstheme="minorHAnsi"/>
        </w:rPr>
        <w:t xml:space="preserve">   </w:t>
      </w:r>
      <w:r w:rsidRPr="002F7C30">
        <w:rPr>
          <w:rFonts w:cstheme="minorHAnsi"/>
        </w:rPr>
        <w:t>5 mg/m3</w:t>
      </w:r>
    </w:p>
    <w:p w14:paraId="2E57C94E" w14:textId="77777777" w:rsidR="008227C9" w:rsidRPr="002F7C30" w:rsidRDefault="008227C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E2ECD6F" w14:textId="65349C29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Piperonyl Butoxide</w:t>
      </w:r>
    </w:p>
    <w:p w14:paraId="348BDC83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 xml:space="preserve">Technical </w:t>
      </w:r>
      <w:r w:rsidRPr="002F7C30">
        <w:rPr>
          <w:rFonts w:cstheme="minorHAnsi"/>
        </w:rPr>
        <w:tab/>
        <w:t xml:space="preserve">Not Est. </w:t>
      </w:r>
      <w:r w:rsidRPr="002F7C30">
        <w:rPr>
          <w:rFonts w:cstheme="minorHAnsi"/>
        </w:rPr>
        <w:tab/>
        <w:t xml:space="preserve">Not Est. </w:t>
      </w:r>
      <w:r w:rsidRPr="002F7C30">
        <w:rPr>
          <w:rFonts w:cstheme="minorHAnsi"/>
        </w:rPr>
        <w:tab/>
        <w:t>Not Est. No</w:t>
      </w:r>
    </w:p>
    <w:p w14:paraId="7497687A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u w:val="single"/>
        </w:rPr>
        <w:t xml:space="preserve">Emulsifier </w:t>
      </w:r>
      <w:r w:rsidRPr="002F7C30">
        <w:rPr>
          <w:rFonts w:cstheme="minorHAnsi"/>
          <w:u w:val="single"/>
        </w:rPr>
        <w:tab/>
        <w:t xml:space="preserve">Not Est. </w:t>
      </w:r>
      <w:r w:rsidRPr="002F7C30">
        <w:rPr>
          <w:rFonts w:cstheme="minorHAnsi"/>
          <w:u w:val="single"/>
        </w:rPr>
        <w:tab/>
        <w:t xml:space="preserve">Not Est. </w:t>
      </w:r>
      <w:r w:rsidRPr="002F7C30">
        <w:rPr>
          <w:rFonts w:cstheme="minorHAnsi"/>
          <w:u w:val="single"/>
        </w:rPr>
        <w:tab/>
        <w:t xml:space="preserve">Not Est. No           </w:t>
      </w:r>
    </w:p>
    <w:p w14:paraId="6F8FF6D2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FCC2B7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Characteristic Waste: </w:t>
      </w:r>
      <w:r w:rsidRPr="002F7C30">
        <w:rPr>
          <w:rFonts w:cstheme="minorHAnsi"/>
        </w:rPr>
        <w:t>Ignitable.</w:t>
      </w:r>
    </w:p>
    <w:p w14:paraId="7BC693A9" w14:textId="77777777" w:rsidR="00F1029D" w:rsidRPr="002F7C30" w:rsidRDefault="00F1029D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  <w:sectPr w:rsidR="00F1029D" w:rsidRPr="002F7C30" w:rsidSect="000821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A703E6" w14:textId="77777777" w:rsidR="001F77A9" w:rsidRPr="002F7C30" w:rsidRDefault="001F77A9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15F3B8B1" w14:textId="77777777" w:rsidR="00E8256C" w:rsidRPr="002F7C30" w:rsidRDefault="00E8256C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  <w:sectPr w:rsidR="00E8256C" w:rsidRPr="002F7C30" w:rsidSect="000821F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99B73AA" w14:textId="77777777" w:rsidR="00173341" w:rsidRPr="002F7C30" w:rsidRDefault="00173341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36F50070" w14:textId="6F624FC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 xml:space="preserve">Exposure </w:t>
      </w:r>
      <w:r w:rsidR="006E77D8" w:rsidRPr="002F7C30">
        <w:rPr>
          <w:rFonts w:cstheme="minorHAnsi"/>
          <w:b/>
          <w:bCs/>
          <w:u w:val="single"/>
        </w:rPr>
        <w:t>C</w:t>
      </w:r>
      <w:r w:rsidRPr="002F7C30">
        <w:rPr>
          <w:rFonts w:cstheme="minorHAnsi"/>
          <w:b/>
          <w:bCs/>
          <w:u w:val="single"/>
        </w:rPr>
        <w:t>ontrol/Personal Protection:</w:t>
      </w:r>
    </w:p>
    <w:p w14:paraId="6128B3E8" w14:textId="7777777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Ingestion: </w:t>
      </w:r>
      <w:r w:rsidRPr="002F7C30">
        <w:rPr>
          <w:rFonts w:cstheme="minorHAnsi"/>
        </w:rPr>
        <w:t>Prevent eating, drinking, tobacco usage and cosmetic application in areas where there is a potential for exposure to the material. Always wash thoroughly after handling.</w:t>
      </w:r>
    </w:p>
    <w:p w14:paraId="25CA8991" w14:textId="77777777" w:rsidR="002F7C30" w:rsidRDefault="002F7C30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18AA305" w14:textId="0DF5B26C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Eye contact: </w:t>
      </w:r>
      <w:r w:rsidRPr="002F7C30">
        <w:rPr>
          <w:rFonts w:cstheme="minorHAnsi"/>
        </w:rPr>
        <w:t>To avoid eye contact, wear safety glasses with side shields or chemical goggles.</w:t>
      </w:r>
    </w:p>
    <w:p w14:paraId="64AB13EF" w14:textId="77777777" w:rsidR="002F7C30" w:rsidRDefault="002F7C30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E9CEB8D" w14:textId="488D02A3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Skin contact: </w:t>
      </w:r>
      <w:r w:rsidRPr="002F7C30">
        <w:rPr>
          <w:rFonts w:cstheme="minorHAnsi"/>
        </w:rPr>
        <w:t xml:space="preserve">To avoid skin contact, wear chemical resistant gloves, such as barrier laminate, nitrile rubber, neoprene rubber or Viton®, shoes and socks, long-sleeved </w:t>
      </w:r>
      <w:proofErr w:type="gramStart"/>
      <w:r w:rsidRPr="002F7C30">
        <w:rPr>
          <w:rFonts w:cstheme="minorHAnsi"/>
        </w:rPr>
        <w:t>shirt</w:t>
      </w:r>
      <w:proofErr w:type="gramEnd"/>
      <w:r w:rsidRPr="002F7C30">
        <w:rPr>
          <w:rFonts w:cstheme="minorHAnsi"/>
        </w:rPr>
        <w:t xml:space="preserve"> and long pants.</w:t>
      </w:r>
    </w:p>
    <w:p w14:paraId="7DFC065C" w14:textId="77777777" w:rsidR="002F7C30" w:rsidRDefault="002F7C30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505806E" w14:textId="660C3938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Inhalation: </w:t>
      </w:r>
      <w:r w:rsidRPr="002F7C30">
        <w:rPr>
          <w:rFonts w:cstheme="minorHAnsi"/>
        </w:rPr>
        <w:t>To avoid breathing vapors or mist, wear a NIOSH approved chemical cartridge respirator with organic vapor cartridges and a pesticide pre-filter, or a supplied air respirator.</w:t>
      </w:r>
    </w:p>
    <w:p w14:paraId="0F1CA759" w14:textId="7777777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  <w:sectPr w:rsidR="000821F9" w:rsidRPr="002F7C30" w:rsidSect="00E825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4CBB53" w14:textId="7777777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1CC8E7B" w14:textId="77777777" w:rsidR="00173341" w:rsidRDefault="00173341" w:rsidP="004E6C35">
      <w:pPr>
        <w:spacing w:after="0" w:line="240" w:lineRule="auto"/>
        <w:rPr>
          <w:rFonts w:cstheme="minorHAnsi"/>
          <w:b/>
          <w:u w:val="single"/>
        </w:rPr>
      </w:pPr>
    </w:p>
    <w:p w14:paraId="0EBC65E0" w14:textId="4BB109AA" w:rsidR="006408B4" w:rsidRPr="002F7C30" w:rsidRDefault="006408B4" w:rsidP="004E6C35">
      <w:pPr>
        <w:spacing w:after="0" w:line="240" w:lineRule="auto"/>
        <w:rPr>
          <w:rFonts w:cstheme="minorHAnsi"/>
          <w:b/>
          <w:u w:val="single"/>
        </w:rPr>
      </w:pPr>
      <w:r w:rsidRPr="002F7C30">
        <w:rPr>
          <w:rFonts w:cstheme="minorHAnsi"/>
          <w:b/>
          <w:u w:val="single"/>
        </w:rPr>
        <w:t>Signs of Acute Exposure:</w:t>
      </w:r>
    </w:p>
    <w:p w14:paraId="6C9CF95F" w14:textId="77777777" w:rsidR="00776FBC" w:rsidRPr="002F7C30" w:rsidRDefault="00001347" w:rsidP="004E6C35">
      <w:pPr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lastRenderedPageBreak/>
        <w:t xml:space="preserve">Warning signs of exposure: skin dermatitis, numbness, sneezing, vomiting, diarrhea, headache, restlessness, tinnitus, incoordination, convulsion, difficulty breathing, </w:t>
      </w:r>
      <w:proofErr w:type="gramStart"/>
      <w:r w:rsidRPr="002F7C30">
        <w:rPr>
          <w:rFonts w:cstheme="minorHAnsi"/>
        </w:rPr>
        <w:t>burning</w:t>
      </w:r>
      <w:proofErr w:type="gramEnd"/>
      <w:r w:rsidRPr="002F7C30">
        <w:rPr>
          <w:rFonts w:cstheme="minorHAnsi"/>
        </w:rPr>
        <w:t xml:space="preserve"> and itching to eyes/throat, swollen eyes</w:t>
      </w:r>
      <w:r w:rsidR="006408B4" w:rsidRPr="002F7C30">
        <w:rPr>
          <w:rFonts w:cstheme="minorHAnsi"/>
        </w:rPr>
        <w:t>.</w:t>
      </w:r>
    </w:p>
    <w:p w14:paraId="6D26F7F9" w14:textId="77777777" w:rsidR="000821F9" w:rsidRPr="002F7C30" w:rsidRDefault="000821F9" w:rsidP="004E6C35">
      <w:pPr>
        <w:spacing w:after="0" w:line="240" w:lineRule="auto"/>
        <w:rPr>
          <w:rFonts w:cstheme="minorHAnsi"/>
        </w:rPr>
      </w:pPr>
    </w:p>
    <w:p w14:paraId="39A6C8FA" w14:textId="77777777" w:rsidR="002F7C30" w:rsidRDefault="002F7C30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0B03F243" w14:textId="470C3053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>First Aid:</w:t>
      </w:r>
    </w:p>
    <w:p w14:paraId="6C46B40E" w14:textId="77777777" w:rsidR="00D310AF" w:rsidRPr="002F7C30" w:rsidRDefault="00D310AF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  <w:b/>
          <w:bCs/>
        </w:rPr>
      </w:pPr>
    </w:p>
    <w:p w14:paraId="3171AFE9" w14:textId="48A7E69B" w:rsidR="00621D26" w:rsidRPr="002F7C30" w:rsidRDefault="006408B4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</w:rPr>
      </w:pPr>
      <w:r w:rsidRPr="002F7C30">
        <w:rPr>
          <w:rFonts w:cstheme="minorHAnsi"/>
          <w:b/>
          <w:bCs/>
        </w:rPr>
        <w:t>Ingestion</w:t>
      </w:r>
      <w:r w:rsidRPr="002F7C30">
        <w:rPr>
          <w:rFonts w:cstheme="minorHAnsi"/>
        </w:rPr>
        <w:t xml:space="preserve">: </w:t>
      </w:r>
    </w:p>
    <w:p w14:paraId="717640A1" w14:textId="06D5667F" w:rsidR="00E70EE4" w:rsidRPr="002F7C30" w:rsidRDefault="00621D26" w:rsidP="00E70EE4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a Poison Control Center, physician, or PROSAR at 866-257-4118 for treatment advice.</w:t>
      </w:r>
    </w:p>
    <w:p w14:paraId="609A4929" w14:textId="77777777" w:rsidR="00E70EE4" w:rsidRPr="002F7C30" w:rsidRDefault="00621D26" w:rsidP="00E70EE4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Do not induce vomiting unless told to do so by the Poison Control Center or physician.</w:t>
      </w:r>
    </w:p>
    <w:p w14:paraId="19F5A0A9" w14:textId="77777777" w:rsidR="00E70EE4" w:rsidRPr="002F7C30" w:rsidRDefault="00621D26" w:rsidP="00E70EE4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Do not give any liquid to the person.</w:t>
      </w:r>
      <w:r w:rsidR="00E70EE4" w:rsidRPr="002F7C30">
        <w:rPr>
          <w:rFonts w:asciiTheme="minorHAnsi" w:hAnsiTheme="minorHAnsi" w:cstheme="minorHAnsi"/>
          <w:sz w:val="22"/>
          <w:szCs w:val="22"/>
        </w:rPr>
        <w:t xml:space="preserve">  </w:t>
      </w:r>
      <w:r w:rsidRPr="002F7C30">
        <w:rPr>
          <w:rFonts w:asciiTheme="minorHAnsi" w:hAnsiTheme="minorHAnsi" w:cstheme="minorHAnsi"/>
          <w:sz w:val="22"/>
          <w:szCs w:val="22"/>
        </w:rPr>
        <w:t>Avoid alcohol.</w:t>
      </w:r>
    </w:p>
    <w:p w14:paraId="5BF2A5ED" w14:textId="5587BF1A" w:rsidR="00E8256C" w:rsidRPr="002F7C30" w:rsidRDefault="00621D26" w:rsidP="00E8256C">
      <w:pPr>
        <w:pStyle w:val="ListParagraph"/>
        <w:numPr>
          <w:ilvl w:val="0"/>
          <w:numId w:val="6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 xml:space="preserve">Do not give anything by mouth to an unconscious or convulsing person. </w:t>
      </w:r>
      <w:r w:rsidR="00E8256C" w:rsidRPr="002F7C30">
        <w:rPr>
          <w:rFonts w:asciiTheme="minorHAnsi" w:hAnsiTheme="minorHAnsi" w:cstheme="minorHAnsi"/>
          <w:sz w:val="22"/>
          <w:szCs w:val="22"/>
        </w:rPr>
        <w:t>Call 9-1-1 with either condition.</w:t>
      </w:r>
    </w:p>
    <w:p w14:paraId="2B16C6A8" w14:textId="77777777" w:rsidR="00D310AF" w:rsidRPr="002F7C30" w:rsidRDefault="00D310AF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  <w:b/>
          <w:bCs/>
        </w:rPr>
      </w:pPr>
    </w:p>
    <w:p w14:paraId="03E89C9E" w14:textId="6F765E91" w:rsidR="00E70EE4" w:rsidRPr="002F7C30" w:rsidRDefault="006408B4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 xml:space="preserve">Inhalation: </w:t>
      </w:r>
    </w:p>
    <w:p w14:paraId="0DCD1B7D" w14:textId="77777777" w:rsidR="00E70EE4" w:rsidRPr="002F7C30" w:rsidRDefault="006408B4" w:rsidP="00E70EE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 xml:space="preserve">Remove victim to fresh air. </w:t>
      </w:r>
    </w:p>
    <w:p w14:paraId="10A445D5" w14:textId="77777777" w:rsidR="006408B4" w:rsidRPr="002F7C30" w:rsidRDefault="00E70EE4" w:rsidP="00E70EE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 xml:space="preserve">If person is not breathing, call 9-1-1. </w:t>
      </w:r>
      <w:r w:rsidR="006408B4" w:rsidRPr="002F7C30">
        <w:rPr>
          <w:rFonts w:asciiTheme="minorHAnsi" w:hAnsiTheme="minorHAnsi" w:cstheme="minorHAnsi"/>
          <w:sz w:val="22"/>
          <w:szCs w:val="22"/>
        </w:rPr>
        <w:t>Administer artificial respiration</w:t>
      </w:r>
      <w:r w:rsidRPr="002F7C30">
        <w:rPr>
          <w:rFonts w:asciiTheme="minorHAnsi" w:hAnsiTheme="minorHAnsi" w:cstheme="minorHAnsi"/>
          <w:sz w:val="22"/>
          <w:szCs w:val="22"/>
        </w:rPr>
        <w:t>.</w:t>
      </w:r>
    </w:p>
    <w:p w14:paraId="0917B16F" w14:textId="77777777" w:rsidR="00E70EE4" w:rsidRPr="002F7C30" w:rsidRDefault="00E70EE4" w:rsidP="00E70EE4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a Poison Control Center, physician, or PROSAR at 866-257-4118 for treatment advice.</w:t>
      </w:r>
    </w:p>
    <w:p w14:paraId="6CFE9383" w14:textId="77777777" w:rsidR="00E70EE4" w:rsidRPr="002F7C30" w:rsidRDefault="00E70EE4" w:rsidP="00E70EE4">
      <w:pPr>
        <w:pStyle w:val="ListParagraph"/>
        <w:autoSpaceDE w:val="0"/>
        <w:autoSpaceDN w:val="0"/>
        <w:adjustRightInd w:val="0"/>
        <w:ind w:left="360" w:hanging="360"/>
        <w:rPr>
          <w:rFonts w:asciiTheme="minorHAnsi" w:hAnsiTheme="minorHAnsi" w:cstheme="minorHAnsi"/>
          <w:sz w:val="22"/>
          <w:szCs w:val="22"/>
        </w:rPr>
      </w:pPr>
    </w:p>
    <w:p w14:paraId="7D6DFE86" w14:textId="77777777" w:rsidR="00E70EE4" w:rsidRPr="002F7C30" w:rsidRDefault="006408B4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 xml:space="preserve">Eye Contact: </w:t>
      </w:r>
    </w:p>
    <w:p w14:paraId="7FCA5748" w14:textId="77777777" w:rsidR="00E70EE4" w:rsidRPr="002F7C30" w:rsidRDefault="00E70EE4" w:rsidP="00E70EE4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Hold eye open and rinse slowly and gently with water for 15-20 minutes.</w:t>
      </w:r>
    </w:p>
    <w:p w14:paraId="1083680F" w14:textId="77777777" w:rsidR="00E70EE4" w:rsidRPr="002F7C30" w:rsidRDefault="00E70EE4" w:rsidP="00E70EE4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 xml:space="preserve">Remove contact </w:t>
      </w:r>
      <w:proofErr w:type="gramStart"/>
      <w:r w:rsidRPr="002F7C30">
        <w:rPr>
          <w:rFonts w:asciiTheme="minorHAnsi" w:hAnsiTheme="minorHAnsi" w:cstheme="minorHAnsi"/>
          <w:sz w:val="22"/>
          <w:szCs w:val="22"/>
        </w:rPr>
        <w:t>lenses, if</w:t>
      </w:r>
      <w:proofErr w:type="gramEnd"/>
      <w:r w:rsidRPr="002F7C30">
        <w:rPr>
          <w:rFonts w:asciiTheme="minorHAnsi" w:hAnsiTheme="minorHAnsi" w:cstheme="minorHAnsi"/>
          <w:sz w:val="22"/>
          <w:szCs w:val="22"/>
        </w:rPr>
        <w:t xml:space="preserve"> present, after the first 5 minutes, then continue rinsing eye.</w:t>
      </w:r>
    </w:p>
    <w:p w14:paraId="1C3BC784" w14:textId="53BB2727" w:rsidR="00E70EE4" w:rsidRPr="002F7C30" w:rsidRDefault="00E70EE4" w:rsidP="00E70EE4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a Poison Control Center, physician, or PROSAR at 866-257-4118 for treatment advice.</w:t>
      </w:r>
    </w:p>
    <w:p w14:paraId="4DD9F3C9" w14:textId="59AE990D" w:rsidR="00E8256C" w:rsidRPr="002F7C30" w:rsidRDefault="00E8256C" w:rsidP="00E70EE4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9-1-1, if necessary.</w:t>
      </w:r>
    </w:p>
    <w:p w14:paraId="3C61D20B" w14:textId="77777777" w:rsidR="00E70EE4" w:rsidRPr="002F7C30" w:rsidRDefault="00E70EE4" w:rsidP="00E70EE4">
      <w:pPr>
        <w:pStyle w:val="ListParagraph"/>
        <w:autoSpaceDE w:val="0"/>
        <w:autoSpaceDN w:val="0"/>
        <w:adjustRightInd w:val="0"/>
        <w:ind w:left="360" w:hanging="360"/>
        <w:rPr>
          <w:rFonts w:asciiTheme="minorHAnsi" w:hAnsiTheme="minorHAnsi" w:cstheme="minorHAnsi"/>
          <w:sz w:val="22"/>
          <w:szCs w:val="22"/>
        </w:rPr>
      </w:pPr>
    </w:p>
    <w:p w14:paraId="0FC3C797" w14:textId="77777777" w:rsidR="00E70EE4" w:rsidRPr="002F7C30" w:rsidRDefault="006408B4" w:rsidP="00E70EE4">
      <w:pPr>
        <w:autoSpaceDE w:val="0"/>
        <w:autoSpaceDN w:val="0"/>
        <w:adjustRightInd w:val="0"/>
        <w:spacing w:after="0" w:line="240" w:lineRule="auto"/>
        <w:ind w:left="360" w:hanging="360"/>
        <w:rPr>
          <w:rFonts w:cstheme="minorHAnsi"/>
        </w:rPr>
      </w:pPr>
      <w:r w:rsidRPr="002F7C30">
        <w:rPr>
          <w:rFonts w:cstheme="minorHAnsi"/>
          <w:b/>
          <w:bCs/>
        </w:rPr>
        <w:t xml:space="preserve">Skin Contact: </w:t>
      </w:r>
    </w:p>
    <w:p w14:paraId="64CCAC4B" w14:textId="77777777" w:rsidR="00E70EE4" w:rsidRPr="002F7C30" w:rsidRDefault="00E70EE4" w:rsidP="00E70EE4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Take off contaminated clothing.</w:t>
      </w:r>
    </w:p>
    <w:p w14:paraId="1AFA9B2E" w14:textId="77777777" w:rsidR="00E70EE4" w:rsidRPr="002F7C30" w:rsidRDefault="00E70EE4" w:rsidP="00E70EE4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Rinse skin immediately with plenty of water for 15-20 minutes.</w:t>
      </w:r>
    </w:p>
    <w:p w14:paraId="72845706" w14:textId="77777777" w:rsidR="00E8256C" w:rsidRPr="002F7C30" w:rsidRDefault="00E70EE4" w:rsidP="00E8256C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a Poison Control Center, physician, or PROSAR at 866-257-4118 for treatment advice.</w:t>
      </w:r>
    </w:p>
    <w:p w14:paraId="18382E04" w14:textId="76058E83" w:rsidR="00E8256C" w:rsidRPr="002F7C30" w:rsidRDefault="00E8256C" w:rsidP="00E8256C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  <w:r w:rsidRPr="002F7C30">
        <w:rPr>
          <w:rFonts w:asciiTheme="minorHAnsi" w:hAnsiTheme="minorHAnsi" w:cstheme="minorHAnsi"/>
          <w:sz w:val="22"/>
          <w:szCs w:val="22"/>
        </w:rPr>
        <w:t>Call 9-1-1, if necessary.</w:t>
      </w:r>
    </w:p>
    <w:p w14:paraId="3447F357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B95C3CB" w14:textId="77777777" w:rsidR="001F77A9" w:rsidRPr="002F7C30" w:rsidRDefault="001F77A9" w:rsidP="004E6C35">
      <w:pPr>
        <w:spacing w:after="0" w:line="240" w:lineRule="auto"/>
        <w:rPr>
          <w:rStyle w:val="FORMwspaceChar"/>
          <w:rFonts w:asciiTheme="minorHAnsi" w:eastAsiaTheme="minorHAnsi" w:hAnsiTheme="minorHAnsi" w:cstheme="minorHAnsi"/>
          <w:b/>
          <w:color w:val="auto"/>
          <w:sz w:val="22"/>
          <w:szCs w:val="22"/>
          <w:u w:val="single"/>
        </w:rPr>
      </w:pPr>
    </w:p>
    <w:p w14:paraId="75728244" w14:textId="3A4D8937" w:rsidR="000821F9" w:rsidRPr="002F7C30" w:rsidRDefault="000821F9" w:rsidP="004E6C35">
      <w:pPr>
        <w:spacing w:after="0" w:line="240" w:lineRule="auto"/>
        <w:rPr>
          <w:rStyle w:val="FORMwspaceChar"/>
          <w:rFonts w:asciiTheme="minorHAnsi" w:eastAsiaTheme="minorHAnsi" w:hAnsiTheme="minorHAnsi" w:cstheme="minorHAnsi"/>
          <w:b/>
          <w:color w:val="auto"/>
          <w:sz w:val="22"/>
          <w:szCs w:val="22"/>
          <w:u w:val="single"/>
        </w:rPr>
      </w:pPr>
      <w:r w:rsidRPr="002F7C30">
        <w:rPr>
          <w:rStyle w:val="FORMwspaceChar"/>
          <w:rFonts w:asciiTheme="minorHAnsi" w:eastAsiaTheme="minorHAnsi" w:hAnsiTheme="minorHAnsi" w:cstheme="minorHAnsi"/>
          <w:b/>
          <w:color w:val="auto"/>
          <w:sz w:val="22"/>
          <w:szCs w:val="22"/>
          <w:u w:val="single"/>
        </w:rPr>
        <w:t>Personnel Protection Equipment Clean-up Procedures:</w:t>
      </w:r>
    </w:p>
    <w:p w14:paraId="44FC5613" w14:textId="77777777" w:rsidR="000821F9" w:rsidRPr="002F7C30" w:rsidRDefault="000821F9" w:rsidP="004E6C35">
      <w:pPr>
        <w:pStyle w:val="ListParagraph"/>
        <w:numPr>
          <w:ilvl w:val="0"/>
          <w:numId w:val="3"/>
        </w:numPr>
        <w:ind w:left="360"/>
        <w:rPr>
          <w:rStyle w:val="FORMwspaceChar"/>
          <w:rFonts w:asciiTheme="minorHAnsi" w:hAnsiTheme="minorHAnsi" w:cstheme="minorHAnsi"/>
          <w:color w:val="auto"/>
          <w:sz w:val="22"/>
          <w:szCs w:val="22"/>
        </w:rPr>
      </w:pPr>
      <w:r w:rsidRPr="002F7C30">
        <w:rPr>
          <w:rStyle w:val="FORMwspaceChar"/>
          <w:rFonts w:asciiTheme="minorHAnsi" w:hAnsiTheme="minorHAnsi" w:cstheme="minorHAnsi"/>
          <w:color w:val="auto"/>
          <w:sz w:val="22"/>
          <w:szCs w:val="22"/>
        </w:rPr>
        <w:t>After cleaning up spills, PPE should be removed prior to leaving the site. PPE should not be taken home.</w:t>
      </w:r>
    </w:p>
    <w:p w14:paraId="1F7EFBFC" w14:textId="77777777" w:rsidR="000821F9" w:rsidRPr="002F7C30" w:rsidRDefault="000821F9" w:rsidP="004E6C35">
      <w:pPr>
        <w:pStyle w:val="ListParagraph"/>
        <w:numPr>
          <w:ilvl w:val="0"/>
          <w:numId w:val="3"/>
        </w:numPr>
        <w:ind w:left="360"/>
        <w:rPr>
          <w:rStyle w:val="FORMwspaceChar"/>
          <w:rFonts w:asciiTheme="minorHAnsi" w:hAnsiTheme="minorHAnsi" w:cstheme="minorHAnsi"/>
          <w:color w:val="auto"/>
          <w:sz w:val="22"/>
          <w:szCs w:val="22"/>
        </w:rPr>
      </w:pPr>
      <w:r w:rsidRPr="002F7C30">
        <w:rPr>
          <w:rStyle w:val="FORMwspaceChar"/>
          <w:rFonts w:asciiTheme="minorHAnsi" w:hAnsiTheme="minorHAnsi" w:cstheme="minorHAnsi"/>
          <w:color w:val="auto"/>
          <w:sz w:val="22"/>
          <w:szCs w:val="22"/>
        </w:rPr>
        <w:t xml:space="preserve">PPE washed separately from regular wash after each application and returned to work site. </w:t>
      </w:r>
    </w:p>
    <w:p w14:paraId="6595A74B" w14:textId="77777777" w:rsidR="000821F9" w:rsidRPr="002F7C30" w:rsidRDefault="000821F9" w:rsidP="004E6C35">
      <w:pPr>
        <w:pStyle w:val="ListParagraph"/>
        <w:numPr>
          <w:ilvl w:val="0"/>
          <w:numId w:val="3"/>
        </w:numPr>
        <w:ind w:left="360"/>
        <w:rPr>
          <w:rStyle w:val="FORMwspaceChar"/>
          <w:rFonts w:asciiTheme="minorHAnsi" w:hAnsiTheme="minorHAnsi" w:cstheme="minorHAnsi"/>
          <w:color w:val="auto"/>
          <w:sz w:val="22"/>
          <w:szCs w:val="22"/>
        </w:rPr>
      </w:pPr>
      <w:r w:rsidRPr="002F7C30">
        <w:rPr>
          <w:rStyle w:val="FORMwspaceChar"/>
          <w:rFonts w:asciiTheme="minorHAnsi" w:hAnsiTheme="minorHAnsi" w:cstheme="minorHAnsi"/>
          <w:color w:val="auto"/>
          <w:sz w:val="22"/>
          <w:szCs w:val="22"/>
        </w:rPr>
        <w:t>Personnel should minimally wash hands and face with water and soap, but preferably shower immediately after pesticide applications.</w:t>
      </w:r>
    </w:p>
    <w:p w14:paraId="393FE3A7" w14:textId="77777777" w:rsidR="000821F9" w:rsidRPr="002F7C30" w:rsidRDefault="000821F9" w:rsidP="004E6C35">
      <w:pPr>
        <w:pStyle w:val="ListParagraph"/>
        <w:numPr>
          <w:ilvl w:val="0"/>
          <w:numId w:val="3"/>
        </w:numPr>
        <w:ind w:left="360"/>
        <w:rPr>
          <w:rStyle w:val="FORMwspaceChar"/>
          <w:rFonts w:asciiTheme="minorHAnsi" w:hAnsiTheme="minorHAnsi" w:cstheme="minorHAnsi"/>
          <w:color w:val="auto"/>
          <w:sz w:val="22"/>
          <w:szCs w:val="22"/>
        </w:rPr>
      </w:pPr>
      <w:r w:rsidRPr="002F7C30">
        <w:rPr>
          <w:rStyle w:val="FORMwspaceChar"/>
          <w:rFonts w:asciiTheme="minorHAnsi" w:hAnsiTheme="minorHAnsi" w:cstheme="minorHAnsi"/>
          <w:color w:val="auto"/>
          <w:sz w:val="22"/>
          <w:szCs w:val="22"/>
        </w:rPr>
        <w:t>Personnel should remain upwind to avoid breathing vapors.</w:t>
      </w:r>
    </w:p>
    <w:p w14:paraId="630D5DB9" w14:textId="7777777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12D17D2B" w14:textId="77777777" w:rsidR="000821F9" w:rsidRPr="002F7C30" w:rsidRDefault="000821F9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</w:p>
    <w:p w14:paraId="09BB90DF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>Disposal Considerations:</w:t>
      </w:r>
    </w:p>
    <w:p w14:paraId="7BB181F7" w14:textId="2D6DC43A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F7C30">
        <w:rPr>
          <w:rFonts w:cstheme="minorHAnsi"/>
          <w:b/>
          <w:bCs/>
        </w:rPr>
        <w:t xml:space="preserve">Do not contaminate water, </w:t>
      </w:r>
      <w:proofErr w:type="gramStart"/>
      <w:r w:rsidRPr="002F7C30">
        <w:rPr>
          <w:rFonts w:cstheme="minorHAnsi"/>
          <w:b/>
          <w:bCs/>
        </w:rPr>
        <w:t>food</w:t>
      </w:r>
      <w:proofErr w:type="gramEnd"/>
      <w:r w:rsidRPr="002F7C30">
        <w:rPr>
          <w:rFonts w:cstheme="minorHAnsi"/>
          <w:b/>
          <w:bCs/>
        </w:rPr>
        <w:t xml:space="preserve"> or feed by disposal.</w:t>
      </w:r>
    </w:p>
    <w:p w14:paraId="63D3E175" w14:textId="77777777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FA25972" w14:textId="77777777" w:rsidR="00E8256C" w:rsidRPr="002F7C30" w:rsidRDefault="00E8256C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  <w:sectPr w:rsidR="00E8256C" w:rsidRPr="002F7C30" w:rsidSect="00E825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27D21BD" w14:textId="3D6E9588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DISPOSAL: </w:t>
      </w:r>
      <w:r w:rsidRPr="002F7C30">
        <w:rPr>
          <w:rFonts w:cstheme="minorHAnsi"/>
        </w:rPr>
        <w:t xml:space="preserve">Do not reuse product containers. Dispose of product containers, waste containers, and residues according </w:t>
      </w:r>
      <w:r w:rsidR="00A83EA3" w:rsidRPr="002F7C30">
        <w:rPr>
          <w:rFonts w:cstheme="minorHAnsi"/>
        </w:rPr>
        <w:t xml:space="preserve">to </w:t>
      </w:r>
      <w:r w:rsidR="00A83EA3">
        <w:rPr>
          <w:rFonts w:cstheme="minorHAnsi"/>
        </w:rPr>
        <w:t>Federal</w:t>
      </w:r>
      <w:r w:rsidRPr="002F7C30">
        <w:rPr>
          <w:rFonts w:cstheme="minorHAnsi"/>
        </w:rPr>
        <w:t xml:space="preserve">, </w:t>
      </w:r>
      <w:proofErr w:type="gramStart"/>
      <w:r w:rsidRPr="002F7C30">
        <w:rPr>
          <w:rFonts w:cstheme="minorHAnsi"/>
        </w:rPr>
        <w:t>State</w:t>
      </w:r>
      <w:proofErr w:type="gramEnd"/>
      <w:r w:rsidRPr="002F7C30">
        <w:rPr>
          <w:rFonts w:cstheme="minorHAnsi"/>
        </w:rPr>
        <w:t xml:space="preserve"> and local health and environmental regulations.</w:t>
      </w:r>
    </w:p>
    <w:p w14:paraId="1A824A85" w14:textId="77777777" w:rsidR="00D310AF" w:rsidRPr="002F7C30" w:rsidRDefault="00D310AF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25844081" w14:textId="5EB32AEA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lastRenderedPageBreak/>
        <w:t xml:space="preserve">PESTICIDE STORAGE AND SPILL PROCEDURES: </w:t>
      </w:r>
      <w:r w:rsidRPr="002F7C30">
        <w:rPr>
          <w:rFonts w:cstheme="minorHAnsi"/>
        </w:rPr>
        <w:t>Store upright at room temperature. Avoid exposure to extreme</w:t>
      </w:r>
      <w:r w:rsidR="000821F9" w:rsidRPr="002F7C30">
        <w:rPr>
          <w:rFonts w:cstheme="minorHAnsi"/>
        </w:rPr>
        <w:t xml:space="preserve"> </w:t>
      </w:r>
      <w:r w:rsidRPr="002F7C30">
        <w:rPr>
          <w:rFonts w:cstheme="minorHAnsi"/>
        </w:rPr>
        <w:t>temperatures. In case of spill or leakage, soak up with an absorbent material such as sand, sawdust, earth, fuller’s earth, etc. Dispose of with chemical waste.</w:t>
      </w:r>
    </w:p>
    <w:p w14:paraId="08F8C4F6" w14:textId="77777777" w:rsidR="00D310AF" w:rsidRPr="002F7C30" w:rsidRDefault="00D310AF" w:rsidP="004E6C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DAB5D78" w14:textId="13719F4B" w:rsidR="006408B4" w:rsidRPr="002F7C30" w:rsidRDefault="006408B4" w:rsidP="004E6C3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F7C30">
        <w:rPr>
          <w:rFonts w:cstheme="minorHAnsi"/>
          <w:b/>
          <w:bCs/>
        </w:rPr>
        <w:t xml:space="preserve">CONTAINER DISPOSAL: </w:t>
      </w:r>
      <w:r w:rsidRPr="002F7C30">
        <w:rPr>
          <w:rFonts w:cstheme="minorHAnsi"/>
        </w:rPr>
        <w:t xml:space="preserve">Non-refillable container. Do not reuse or refill this container. Clean container promptly after emptying. {Containers 5 gallons or less} Triple rinse as follows: Empty the remaining contents into application equipment or a mix tank and drain for 10 seconds after the flow begins to drip. Fill the container ¼ full </w:t>
      </w:r>
      <w:proofErr w:type="gramStart"/>
      <w:r w:rsidRPr="002F7C30">
        <w:rPr>
          <w:rFonts w:cstheme="minorHAnsi"/>
        </w:rPr>
        <w:t>with</w:t>
      </w:r>
      <w:proofErr w:type="gramEnd"/>
      <w:r w:rsidRPr="002F7C30">
        <w:rPr>
          <w:rFonts w:cstheme="minorHAnsi"/>
        </w:rPr>
        <w:t xml:space="preserve"> water and recap. Shake for 10 seconds. Pour </w:t>
      </w:r>
      <w:proofErr w:type="spellStart"/>
      <w:r w:rsidRPr="002F7C30">
        <w:rPr>
          <w:rFonts w:cstheme="minorHAnsi"/>
        </w:rPr>
        <w:t>rinsate</w:t>
      </w:r>
      <w:proofErr w:type="spellEnd"/>
      <w:r w:rsidRPr="002F7C30">
        <w:rPr>
          <w:rFonts w:cstheme="minorHAnsi"/>
        </w:rPr>
        <w:t xml:space="preserve"> into application equipment or a mix tank or store </w:t>
      </w:r>
      <w:proofErr w:type="spellStart"/>
      <w:r w:rsidRPr="002F7C30">
        <w:rPr>
          <w:rFonts w:cstheme="minorHAnsi"/>
        </w:rPr>
        <w:t>rinsate</w:t>
      </w:r>
      <w:proofErr w:type="spellEnd"/>
      <w:r w:rsidRPr="002F7C30">
        <w:rPr>
          <w:rFonts w:cstheme="minorHAnsi"/>
        </w:rPr>
        <w:t xml:space="preserve"> for later use or disposal. Drain for 10 seconds after the flow begins to drip. Repeat this procedure two more times. Offer for recycling if available or reconditioning if appropriate.</w:t>
      </w:r>
    </w:p>
    <w:p w14:paraId="7E782B4C" w14:textId="77777777" w:rsidR="00D366FE" w:rsidRDefault="00D366FE" w:rsidP="004E6C35">
      <w:pPr>
        <w:spacing w:after="0" w:line="240" w:lineRule="auto"/>
        <w:rPr>
          <w:rFonts w:cstheme="minorHAnsi"/>
        </w:rPr>
      </w:pPr>
    </w:p>
    <w:p w14:paraId="2E029C8A" w14:textId="77777777" w:rsidR="00A46AF0" w:rsidRPr="002F7C30" w:rsidRDefault="00A46AF0" w:rsidP="004E6C35">
      <w:pPr>
        <w:spacing w:after="0" w:line="240" w:lineRule="auto"/>
        <w:rPr>
          <w:rFonts w:cstheme="minorHAnsi"/>
        </w:rPr>
      </w:pPr>
    </w:p>
    <w:p w14:paraId="1385C3B9" w14:textId="77777777" w:rsidR="00D366FE" w:rsidRPr="002F7C30" w:rsidRDefault="00D366FE" w:rsidP="00D366FE">
      <w:pPr>
        <w:spacing w:after="0" w:line="240" w:lineRule="auto"/>
        <w:rPr>
          <w:rFonts w:cstheme="minorHAnsi"/>
          <w:b/>
          <w:bCs/>
          <w:u w:val="single"/>
        </w:rPr>
      </w:pPr>
      <w:r w:rsidRPr="002F7C30">
        <w:rPr>
          <w:rFonts w:cstheme="minorHAnsi"/>
          <w:b/>
          <w:bCs/>
          <w:u w:val="single"/>
        </w:rPr>
        <w:t>Spill Response and Incident Response Procedure</w:t>
      </w:r>
    </w:p>
    <w:p w14:paraId="0DB23E37" w14:textId="2B40B242" w:rsidR="00D366FE" w:rsidRPr="002F7C30" w:rsidRDefault="00D366FE" w:rsidP="00D366FE">
      <w:pPr>
        <w:spacing w:after="0" w:line="240" w:lineRule="auto"/>
        <w:rPr>
          <w:rFonts w:cstheme="minorHAnsi"/>
        </w:rPr>
      </w:pPr>
      <w:r w:rsidRPr="002F7C30">
        <w:rPr>
          <w:rFonts w:cstheme="minorHAnsi"/>
        </w:rPr>
        <w:t>Responses to accidental pesticide spills will follow the spill response procedure. Adverse incidents, including accidental spills and non-target impacts, will be reported following the adverse incident response procedure.</w:t>
      </w:r>
    </w:p>
    <w:p w14:paraId="6C036737" w14:textId="77777777" w:rsidR="00D366FE" w:rsidRPr="002F7C30" w:rsidRDefault="00D366FE" w:rsidP="00D366FE">
      <w:pPr>
        <w:spacing w:after="0" w:line="240" w:lineRule="auto"/>
        <w:rPr>
          <w:rFonts w:cstheme="minorHAnsi"/>
        </w:rPr>
      </w:pPr>
    </w:p>
    <w:p w14:paraId="1FABA2A4" w14:textId="3174639C" w:rsidR="00E8256C" w:rsidRPr="002F7C30" w:rsidRDefault="00D366FE" w:rsidP="00D366FE">
      <w:pPr>
        <w:spacing w:after="0" w:line="240" w:lineRule="auto"/>
        <w:rPr>
          <w:rFonts w:cstheme="minorHAnsi"/>
        </w:rPr>
        <w:sectPr w:rsidR="00E8256C" w:rsidRPr="002F7C30" w:rsidSect="00E8256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F7C30">
        <w:rPr>
          <w:rFonts w:cstheme="minorHAnsi"/>
        </w:rPr>
        <w:t xml:space="preserve">See attached documents for additional information: </w:t>
      </w:r>
    </w:p>
    <w:p w14:paraId="495DC6A7" w14:textId="620464BB" w:rsidR="004E6C35" w:rsidRPr="00A46AF0" w:rsidRDefault="00D366FE" w:rsidP="00D366FE">
      <w:pPr>
        <w:spacing w:after="0" w:line="240" w:lineRule="auto"/>
        <w:rPr>
          <w:rFonts w:cstheme="minorHAnsi"/>
        </w:rPr>
      </w:pPr>
      <w:proofErr w:type="spellStart"/>
      <w:r w:rsidRPr="00A46AF0">
        <w:rPr>
          <w:rFonts w:cstheme="minorHAnsi"/>
          <w:i/>
        </w:rPr>
        <w:t>MDNR_RSC_incidentResponse</w:t>
      </w:r>
      <w:proofErr w:type="spellEnd"/>
      <w:r w:rsidR="00A46AF0" w:rsidRPr="00A46AF0">
        <w:rPr>
          <w:rFonts w:cstheme="minorHAnsi"/>
          <w:i/>
        </w:rPr>
        <w:t xml:space="preserve"> </w:t>
      </w:r>
      <w:r w:rsidRPr="00A46AF0">
        <w:rPr>
          <w:rFonts w:cstheme="minorHAnsi"/>
          <w:i/>
        </w:rPr>
        <w:t xml:space="preserve">Procedure and </w:t>
      </w:r>
      <w:proofErr w:type="spellStart"/>
      <w:r w:rsidRPr="00A46AF0">
        <w:rPr>
          <w:rFonts w:cstheme="minorHAnsi"/>
          <w:i/>
        </w:rPr>
        <w:t>MDNR_RSC_spillResponse</w:t>
      </w:r>
      <w:proofErr w:type="spellEnd"/>
      <w:r w:rsidR="00A46AF0" w:rsidRPr="00A46AF0">
        <w:rPr>
          <w:rFonts w:cstheme="minorHAnsi"/>
          <w:i/>
        </w:rPr>
        <w:t xml:space="preserve"> </w:t>
      </w:r>
      <w:r w:rsidRPr="00A46AF0">
        <w:rPr>
          <w:rFonts w:cstheme="minorHAnsi"/>
          <w:i/>
        </w:rPr>
        <w:t>Procedure</w:t>
      </w:r>
    </w:p>
    <w:sectPr w:rsidR="004E6C35" w:rsidRPr="00A46AF0" w:rsidSect="00E8256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32E8" w14:textId="77777777" w:rsidR="00594E96" w:rsidRDefault="00594E96" w:rsidP="001F77A9">
      <w:pPr>
        <w:spacing w:after="0" w:line="240" w:lineRule="auto"/>
      </w:pPr>
      <w:r>
        <w:separator/>
      </w:r>
    </w:p>
  </w:endnote>
  <w:endnote w:type="continuationSeparator" w:id="0">
    <w:p w14:paraId="5D016864" w14:textId="77777777" w:rsidR="00594E96" w:rsidRDefault="00594E96" w:rsidP="001F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Condense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6B93" w14:textId="77777777" w:rsidR="00CA5D99" w:rsidRDefault="00CA5D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6552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BF5BE4" w14:textId="47E9D3AE" w:rsidR="001F77A9" w:rsidRDefault="00C66BC1">
        <w:pPr>
          <w:pStyle w:val="Footer"/>
          <w:jc w:val="right"/>
        </w:pPr>
      </w:p>
    </w:sdtContent>
  </w:sdt>
  <w:p w14:paraId="10A5B349" w14:textId="77777777" w:rsidR="001F77A9" w:rsidRDefault="001F77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3DE2" w14:textId="77777777" w:rsidR="00CA5D99" w:rsidRDefault="00CA5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77E9" w14:textId="77777777" w:rsidR="00594E96" w:rsidRDefault="00594E96" w:rsidP="001F77A9">
      <w:pPr>
        <w:spacing w:after="0" w:line="240" w:lineRule="auto"/>
      </w:pPr>
      <w:r>
        <w:separator/>
      </w:r>
    </w:p>
  </w:footnote>
  <w:footnote w:type="continuationSeparator" w:id="0">
    <w:p w14:paraId="2234A209" w14:textId="77777777" w:rsidR="00594E96" w:rsidRDefault="00594E96" w:rsidP="001F7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D1980" w14:textId="77777777" w:rsidR="00CA5D99" w:rsidRDefault="00CA5D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842531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noProof/>
        <w:color w:val="auto"/>
        <w:sz w:val="22"/>
        <w:szCs w:val="22"/>
      </w:rPr>
    </w:sdtEndPr>
    <w:sdtContent>
      <w:p w14:paraId="6D652368" w14:textId="77777777" w:rsidR="00C66BC1" w:rsidRDefault="00C66BC1" w:rsidP="00C66BC1">
        <w:pPr>
          <w:pStyle w:val="Default"/>
        </w:pPr>
      </w:p>
      <w:p w14:paraId="5C0C3C6C" w14:textId="77777777" w:rsidR="00C66BC1" w:rsidRPr="00D26F6F" w:rsidRDefault="00C66BC1" w:rsidP="00C66BC1">
        <w:pPr>
          <w:spacing w:after="0" w:line="240" w:lineRule="auto"/>
          <w:jc w:val="center"/>
          <w:rPr>
            <w:b/>
            <w:bCs/>
            <w:i/>
            <w:iCs/>
            <w:sz w:val="20"/>
            <w:szCs w:val="20"/>
          </w:rPr>
        </w:pPr>
        <w:r w:rsidRPr="00D26F6F">
          <w:rPr>
            <w:b/>
            <w:bCs/>
            <w:i/>
            <w:iCs/>
            <w:sz w:val="20"/>
            <w:szCs w:val="20"/>
          </w:rPr>
          <w:t xml:space="preserve">*For users other than USGS-CERC staff, this document is for reference only. This is not a citable </w:t>
        </w:r>
        <w:proofErr w:type="gramStart"/>
        <w:r w:rsidRPr="00D26F6F">
          <w:rPr>
            <w:b/>
            <w:bCs/>
            <w:i/>
            <w:iCs/>
            <w:sz w:val="20"/>
            <w:szCs w:val="20"/>
          </w:rPr>
          <w:t>document.*</w:t>
        </w:r>
        <w:proofErr w:type="gramEnd"/>
      </w:p>
      <w:p w14:paraId="5CBAB45F" w14:textId="5C76EDF3" w:rsidR="007D3282" w:rsidRDefault="007D328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97CE6" w14:textId="77777777" w:rsidR="00CA5D99" w:rsidRDefault="00CA5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F5128"/>
    <w:multiLevelType w:val="hybridMultilevel"/>
    <w:tmpl w:val="9C5AC944"/>
    <w:lvl w:ilvl="0" w:tplc="E2765B5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14CA9"/>
    <w:multiLevelType w:val="hybridMultilevel"/>
    <w:tmpl w:val="09F203E4"/>
    <w:lvl w:ilvl="0" w:tplc="84067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124D1"/>
    <w:multiLevelType w:val="hybridMultilevel"/>
    <w:tmpl w:val="24345C7A"/>
    <w:lvl w:ilvl="0" w:tplc="EFB45570">
      <w:start w:val="1"/>
      <w:numFmt w:val="decimal"/>
      <w:lvlText w:val="%1."/>
      <w:lvlJc w:val="left"/>
      <w:pPr>
        <w:ind w:left="720" w:hanging="360"/>
      </w:pPr>
      <w:rPr>
        <w:rFonts w:ascii="HelveticaNeue-Condensed" w:hAnsi="HelveticaNeue-Condensed" w:cs="HelveticaNeue-Condensed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50BE5"/>
    <w:multiLevelType w:val="hybridMultilevel"/>
    <w:tmpl w:val="2DFC69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B2BA3"/>
    <w:multiLevelType w:val="hybridMultilevel"/>
    <w:tmpl w:val="EECEE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24F75"/>
    <w:multiLevelType w:val="hybridMultilevel"/>
    <w:tmpl w:val="393AE696"/>
    <w:lvl w:ilvl="0" w:tplc="3DB81B56">
      <w:start w:val="1"/>
      <w:numFmt w:val="decimal"/>
      <w:lvlText w:val="%1."/>
      <w:lvlJc w:val="left"/>
      <w:pPr>
        <w:ind w:left="720" w:hanging="360"/>
      </w:pPr>
      <w:rPr>
        <w:rFonts w:ascii="HelveticaNeue-Condensed" w:hAnsi="HelveticaNeue-Condensed" w:cs="HelveticaNeue-Condense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52A27"/>
    <w:multiLevelType w:val="hybridMultilevel"/>
    <w:tmpl w:val="CCFA243A"/>
    <w:lvl w:ilvl="0" w:tplc="E2765B5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18306C78">
      <w:numFmt w:val="bullet"/>
      <w:lvlText w:val="•"/>
      <w:lvlJc w:val="left"/>
      <w:pPr>
        <w:ind w:left="1440" w:hanging="360"/>
      </w:pPr>
      <w:rPr>
        <w:rFonts w:ascii="HelveticaNeue-Condensed" w:eastAsiaTheme="minorHAnsi" w:hAnsi="HelveticaNeue-Condensed" w:cs="HelveticaNeue-Condense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73CED"/>
    <w:multiLevelType w:val="hybridMultilevel"/>
    <w:tmpl w:val="24345C7A"/>
    <w:lvl w:ilvl="0" w:tplc="EFB45570">
      <w:start w:val="1"/>
      <w:numFmt w:val="decimal"/>
      <w:lvlText w:val="%1."/>
      <w:lvlJc w:val="left"/>
      <w:pPr>
        <w:ind w:left="720" w:hanging="360"/>
      </w:pPr>
      <w:rPr>
        <w:rFonts w:ascii="HelveticaNeue-Condensed" w:hAnsi="HelveticaNeue-Condensed" w:cs="HelveticaNeue-Condensed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2B2CBC"/>
    <w:multiLevelType w:val="hybridMultilevel"/>
    <w:tmpl w:val="E5CC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000819">
    <w:abstractNumId w:val="0"/>
  </w:num>
  <w:num w:numId="2" w16cid:durableId="1139305528">
    <w:abstractNumId w:val="4"/>
  </w:num>
  <w:num w:numId="3" w16cid:durableId="1072125132">
    <w:abstractNumId w:val="8"/>
  </w:num>
  <w:num w:numId="4" w16cid:durableId="866062686">
    <w:abstractNumId w:val="3"/>
  </w:num>
  <w:num w:numId="5" w16cid:durableId="1769615614">
    <w:abstractNumId w:val="6"/>
  </w:num>
  <w:num w:numId="6" w16cid:durableId="1714424283">
    <w:abstractNumId w:val="2"/>
  </w:num>
  <w:num w:numId="7" w16cid:durableId="109789430">
    <w:abstractNumId w:val="1"/>
  </w:num>
  <w:num w:numId="8" w16cid:durableId="37167211">
    <w:abstractNumId w:val="7"/>
  </w:num>
  <w:num w:numId="9" w16cid:durableId="27726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FBC"/>
    <w:rsid w:val="00001347"/>
    <w:rsid w:val="00005E9C"/>
    <w:rsid w:val="000821F9"/>
    <w:rsid w:val="000A606B"/>
    <w:rsid w:val="000F6BF7"/>
    <w:rsid w:val="00173341"/>
    <w:rsid w:val="001F77A9"/>
    <w:rsid w:val="00274151"/>
    <w:rsid w:val="002F7C30"/>
    <w:rsid w:val="0035446C"/>
    <w:rsid w:val="00356371"/>
    <w:rsid w:val="003B0092"/>
    <w:rsid w:val="004E6C35"/>
    <w:rsid w:val="0054227B"/>
    <w:rsid w:val="00594E96"/>
    <w:rsid w:val="005A52DD"/>
    <w:rsid w:val="00621D26"/>
    <w:rsid w:val="006408B4"/>
    <w:rsid w:val="006E77D8"/>
    <w:rsid w:val="00716C10"/>
    <w:rsid w:val="0072376E"/>
    <w:rsid w:val="0073770F"/>
    <w:rsid w:val="00776FBC"/>
    <w:rsid w:val="007D3282"/>
    <w:rsid w:val="008227C9"/>
    <w:rsid w:val="00907FE8"/>
    <w:rsid w:val="00913849"/>
    <w:rsid w:val="00927A36"/>
    <w:rsid w:val="00A46AF0"/>
    <w:rsid w:val="00A83EA3"/>
    <w:rsid w:val="00B1111E"/>
    <w:rsid w:val="00B41965"/>
    <w:rsid w:val="00B62AB1"/>
    <w:rsid w:val="00C04250"/>
    <w:rsid w:val="00C13F93"/>
    <w:rsid w:val="00C66BC1"/>
    <w:rsid w:val="00CA5D99"/>
    <w:rsid w:val="00CA7D85"/>
    <w:rsid w:val="00CB7439"/>
    <w:rsid w:val="00D26F6F"/>
    <w:rsid w:val="00D310AF"/>
    <w:rsid w:val="00D366FE"/>
    <w:rsid w:val="00DC2DFF"/>
    <w:rsid w:val="00E70EE4"/>
    <w:rsid w:val="00E8256C"/>
    <w:rsid w:val="00EB6399"/>
    <w:rsid w:val="00F1029D"/>
    <w:rsid w:val="00F444E5"/>
    <w:rsid w:val="00FC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6EAC2"/>
  <w15:chartTrackingRefBased/>
  <w15:docId w15:val="{9DFC9563-76F9-4B32-9694-60C9E5C9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RMwspace">
    <w:name w:val="FORM w/space"/>
    <w:basedOn w:val="Normal"/>
    <w:link w:val="FORMwspaceChar"/>
    <w:rsid w:val="00C04250"/>
    <w:pPr>
      <w:spacing w:before="40" w:after="0" w:line="240" w:lineRule="auto"/>
    </w:pPr>
    <w:rPr>
      <w:rFonts w:ascii="Arial Narrow" w:eastAsia="Times New Roman" w:hAnsi="Arial Narrow" w:cs="Times New Roman"/>
      <w:color w:val="0000FF"/>
      <w:sz w:val="24"/>
      <w:szCs w:val="24"/>
    </w:rPr>
  </w:style>
  <w:style w:type="character" w:customStyle="1" w:styleId="FORMwspaceChar">
    <w:name w:val="FORM w/space Char"/>
    <w:link w:val="FORMwspace"/>
    <w:rsid w:val="00C04250"/>
    <w:rPr>
      <w:rFonts w:ascii="Arial Narrow" w:eastAsia="Times New Roman" w:hAnsi="Arial Narrow" w:cs="Times New Roman"/>
      <w:color w:val="0000FF"/>
      <w:sz w:val="24"/>
      <w:szCs w:val="24"/>
    </w:rPr>
  </w:style>
  <w:style w:type="paragraph" w:styleId="ListParagraph">
    <w:name w:val="List Paragraph"/>
    <w:basedOn w:val="Normal"/>
    <w:uiPriority w:val="34"/>
    <w:qFormat/>
    <w:rsid w:val="00C042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semiHidden/>
    <w:rsid w:val="004E6C3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E6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6C3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C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C3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FE8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FE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7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A9"/>
  </w:style>
  <w:style w:type="paragraph" w:styleId="Footer">
    <w:name w:val="footer"/>
    <w:basedOn w:val="Normal"/>
    <w:link w:val="FooterChar"/>
    <w:uiPriority w:val="99"/>
    <w:unhideWhenUsed/>
    <w:rsid w:val="001F77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A9"/>
  </w:style>
  <w:style w:type="paragraph" w:customStyle="1" w:styleId="Default">
    <w:name w:val="Default"/>
    <w:rsid w:val="0035637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Allert</dc:creator>
  <cp:keywords/>
  <dc:description/>
  <cp:lastModifiedBy>Allert, Ann L</cp:lastModifiedBy>
  <cp:revision>20</cp:revision>
  <dcterms:created xsi:type="dcterms:W3CDTF">2020-02-12T17:18:00Z</dcterms:created>
  <dcterms:modified xsi:type="dcterms:W3CDTF">2024-02-16T13:58:00Z</dcterms:modified>
</cp:coreProperties>
</file>